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0"/>
        <w:gridCol w:w="7380"/>
        <w:gridCol w:w="1812"/>
        <w:gridCol w:w="12"/>
        <w:gridCol w:w="10"/>
      </w:tblGrid>
      <w:tr w:rsidR="00557237" w:rsidTr="00557237">
        <w:trPr>
          <w:gridBefore w:val="1"/>
          <w:gridAfter w:val="2"/>
          <w:wBefore w:w="10" w:type="dxa"/>
          <w:wAfter w:w="22" w:type="dxa"/>
          <w:trHeight w:val="393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557237">
            <w:pPr>
              <w:pStyle w:val="Nagwek1"/>
              <w:spacing w:before="120" w:after="120"/>
            </w:pPr>
            <w:r>
              <w:rPr>
                <w:smallCaps/>
                <w:sz w:val="24"/>
                <w:szCs w:val="24"/>
              </w:rPr>
              <w:t>KARTA INFORMACYJNA</w:t>
            </w:r>
            <w:r>
              <w:rPr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10E3B9B" wp14:editId="4A119C66">
                  <wp:extent cx="1257300" cy="1257300"/>
                  <wp:effectExtent l="0" t="0" r="0" b="0"/>
                  <wp:docPr id="1" name="Obraz 1" descr="C:\Users\admin\Downloads\GMINA PNIE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GMINA PNIE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A9CEE5" wp14:editId="2D72F8DD">
                  <wp:extent cx="1257300" cy="1257300"/>
                  <wp:effectExtent l="0" t="0" r="0" b="0"/>
                  <wp:docPr id="2" name="Obraz 2" descr="C:\Users\admin\Downloads\Czerwone i Czarne Cień Donośne Głosy za Sprawiedliwością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Czerwone i Czarne Cień Donośne Głosy za Sprawiedliwością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237" w:rsidTr="00557237">
        <w:trPr>
          <w:gridBefore w:val="1"/>
          <w:wBefore w:w="10" w:type="dxa"/>
          <w:trHeight w:val="567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7237" w:rsidRDefault="00557237" w:rsidP="0005723A">
            <w:pPr>
              <w:spacing w:before="80" w:after="80"/>
              <w:jc w:val="center"/>
            </w:pPr>
            <w:r>
              <w:rPr>
                <w:rFonts w:ascii="Verdana" w:hAnsi="Verdana" w:cs="Verdana"/>
                <w:b/>
                <w:iCs/>
                <w:color w:val="333399"/>
              </w:rPr>
              <w:t>POSTĘPOWANIE W STOSUNKU DO OSÓB NADUŻYWAJĄCYCH ALKOHOLU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237" w:rsidRDefault="00557237" w:rsidP="0005723A">
            <w:pPr>
              <w:spacing w:before="120" w:after="120"/>
              <w:jc w:val="center"/>
            </w:pPr>
          </w:p>
        </w:tc>
      </w:tr>
      <w:tr w:rsidR="00557237" w:rsidTr="00557237">
        <w:trPr>
          <w:gridBefore w:val="1"/>
          <w:wBefore w:w="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WYMAGANE DOKUMENTY:</w:t>
            </w:r>
          </w:p>
          <w:p w:rsidR="00557237" w:rsidRDefault="00557237" w:rsidP="0005723A">
            <w:pPr>
              <w:jc w:val="both"/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wniosek o skierowanie na leczenie odwykowe – f</w:t>
            </w:r>
            <w:r>
              <w:rPr>
                <w:rFonts w:ascii="Verdana" w:hAnsi="Verdana" w:cs="Verdana"/>
                <w:sz w:val="20"/>
                <w:szCs w:val="20"/>
              </w:rPr>
              <w:t>ormularz umieszczony w zamkniętej kopercie z podaniem danych i adresu wnioskod</w:t>
            </w:r>
            <w:r>
              <w:rPr>
                <w:rFonts w:ascii="Verdana" w:hAnsi="Verdana" w:cs="Verdana"/>
                <w:sz w:val="20"/>
                <w:szCs w:val="20"/>
              </w:rPr>
              <w:t>awcy, zaadresowanej do Gminnej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Komisji Rozwiązywania Problemów Al</w:t>
            </w:r>
            <w:r>
              <w:rPr>
                <w:rFonts w:ascii="Verdana" w:hAnsi="Verdana" w:cs="Verdana"/>
                <w:sz w:val="20"/>
                <w:szCs w:val="20"/>
              </w:rPr>
              <w:t>koholowych w Pniewach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557237" w:rsidRDefault="00557237" w:rsidP="0005723A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</w:tr>
      <w:tr w:rsidR="00557237" w:rsidTr="00557237">
        <w:trPr>
          <w:gridBefore w:val="1"/>
          <w:wBefore w:w="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OPŁATY: </w:t>
            </w:r>
          </w:p>
          <w:p w:rsidR="00557237" w:rsidRDefault="00557237" w:rsidP="0005723A">
            <w:pPr>
              <w:spacing w:after="120"/>
            </w:pPr>
            <w:r>
              <w:rPr>
                <w:rFonts w:ascii="Verdana" w:hAnsi="Verdana" w:cs="Verdana"/>
                <w:sz w:val="20"/>
                <w:szCs w:val="20"/>
              </w:rPr>
              <w:t>bez opłat</w:t>
            </w:r>
          </w:p>
        </w:tc>
      </w:tr>
      <w:tr w:rsidR="00557237" w:rsidTr="00557237">
        <w:trPr>
          <w:gridBefore w:val="1"/>
          <w:wBefore w:w="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MIEJSCE ZŁOŻENIA:</w:t>
            </w:r>
          </w:p>
          <w:p w:rsidR="00557237" w:rsidRDefault="00557237" w:rsidP="00557237">
            <w:pPr>
              <w:spacing w:after="12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Urząd </w:t>
            </w:r>
            <w:r>
              <w:rPr>
                <w:rFonts w:ascii="Verdana" w:hAnsi="Verdana" w:cs="Verdana"/>
                <w:sz w:val="20"/>
                <w:szCs w:val="20"/>
              </w:rPr>
              <w:t>Gminy Pniewy, Pniewy 2, 05 652 Pniewy, biblioteka, pok.14, I piętro</w:t>
            </w:r>
          </w:p>
        </w:tc>
      </w:tr>
      <w:tr w:rsidR="00557237" w:rsidTr="00557237">
        <w:trPr>
          <w:gridBefore w:val="1"/>
          <w:wBefore w:w="10" w:type="dxa"/>
          <w:trHeight w:val="126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JEDNOSTKA ODPOWIEDZIALNA:</w:t>
            </w:r>
          </w:p>
          <w:p w:rsidR="00F2569B" w:rsidRDefault="00F2569B" w:rsidP="0005723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Gminna Komisja Rozwiązywania Problemów Alkoholowych w Pniewach, Pniewy 2, </w:t>
            </w:r>
          </w:p>
          <w:p w:rsidR="00557237" w:rsidRDefault="00F2569B" w:rsidP="0005723A">
            <w:r>
              <w:rPr>
                <w:rFonts w:ascii="Verdana" w:hAnsi="Verdana" w:cs="Verdana"/>
                <w:sz w:val="20"/>
                <w:szCs w:val="20"/>
              </w:rPr>
              <w:t>05 -652 Pniewy, telefony: 48 668 64 56 i 48 668 64 85</w:t>
            </w:r>
          </w:p>
        </w:tc>
      </w:tr>
      <w:tr w:rsidR="00557237" w:rsidTr="00557237">
        <w:trPr>
          <w:gridBefore w:val="1"/>
          <w:wBefore w:w="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TERMIN ZAŁATWIENIA SPRAWY:</w:t>
            </w:r>
          </w:p>
          <w:p w:rsidR="00557237" w:rsidRDefault="00557237" w:rsidP="0005723A">
            <w:pPr>
              <w:spacing w:after="120"/>
            </w:pPr>
            <w:r>
              <w:rPr>
                <w:rFonts w:ascii="Verdana" w:hAnsi="Verdana" w:cs="Verdana"/>
                <w:sz w:val="20"/>
                <w:szCs w:val="20"/>
              </w:rPr>
              <w:t>od 14 dni do trzech miesięcy</w:t>
            </w:r>
          </w:p>
        </w:tc>
      </w:tr>
      <w:tr w:rsidR="00557237" w:rsidTr="00557237">
        <w:trPr>
          <w:gridBefore w:val="1"/>
          <w:wBefore w:w="10" w:type="dxa"/>
          <w:trHeight w:val="688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TRYB ODWOŁAWCZY:</w:t>
            </w:r>
          </w:p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sz w:val="20"/>
                <w:szCs w:val="20"/>
              </w:rPr>
              <w:t>nie przysługuje</w:t>
            </w:r>
          </w:p>
        </w:tc>
      </w:tr>
      <w:tr w:rsidR="00557237" w:rsidTr="00557237">
        <w:trPr>
          <w:gridBefore w:val="1"/>
          <w:wBefore w:w="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PODSTAWA PRAWNA:</w:t>
            </w:r>
          </w:p>
          <w:p w:rsidR="00557237" w:rsidRDefault="00557237" w:rsidP="0005723A">
            <w:pPr>
              <w:pStyle w:val="Tekstpodstawowy"/>
              <w:numPr>
                <w:ilvl w:val="0"/>
                <w:numId w:val="4"/>
              </w:numPr>
            </w:pPr>
            <w:r>
              <w:rPr>
                <w:rFonts w:ascii="Verdana" w:hAnsi="Verdana" w:cs="Verdana"/>
                <w:sz w:val="20"/>
              </w:rPr>
              <w:t xml:space="preserve">ustawa o z dnia 26 października 1982 r. o wychowaniu w trzeźwości </w:t>
            </w:r>
          </w:p>
          <w:p w:rsidR="00557237" w:rsidRDefault="00557237" w:rsidP="0005723A">
            <w:pPr>
              <w:pStyle w:val="Tekstpodstawowy"/>
              <w:ind w:left="792" w:hanging="252"/>
            </w:pPr>
            <w:r>
              <w:rPr>
                <w:rFonts w:ascii="Verdana" w:eastAsia="Verdana" w:hAnsi="Verdana" w:cs="Verdana"/>
                <w:sz w:val="20"/>
              </w:rPr>
              <w:t xml:space="preserve">   </w:t>
            </w:r>
            <w:r>
              <w:rPr>
                <w:rFonts w:ascii="Verdana" w:hAnsi="Verdana" w:cs="Verdana"/>
                <w:sz w:val="20"/>
              </w:rPr>
              <w:t xml:space="preserve">i przeciwdziałaniu alkoholizmowi </w:t>
            </w:r>
            <w:r w:rsidRPr="00BF638C">
              <w:rPr>
                <w:rFonts w:ascii="Verdana" w:hAnsi="Verdana" w:cs="Verdana"/>
                <w:sz w:val="20"/>
              </w:rPr>
              <w:t xml:space="preserve">( Dz. U. z 2018 r. poz. 2137 z  </w:t>
            </w:r>
            <w:proofErr w:type="spellStart"/>
            <w:r w:rsidRPr="00BF638C">
              <w:rPr>
                <w:rFonts w:ascii="Verdana" w:hAnsi="Verdana" w:cs="Verdana"/>
                <w:sz w:val="20"/>
              </w:rPr>
              <w:t>późn</w:t>
            </w:r>
            <w:proofErr w:type="spellEnd"/>
            <w:r w:rsidRPr="00BF638C">
              <w:rPr>
                <w:rFonts w:ascii="Verdana" w:hAnsi="Verdana" w:cs="Verdana"/>
                <w:sz w:val="20"/>
              </w:rPr>
              <w:t>. zm.),</w:t>
            </w:r>
            <w:r>
              <w:rPr>
                <w:rFonts w:ascii="Verdana" w:hAnsi="Verdana" w:cs="Verdana"/>
                <w:b/>
                <w:bCs/>
                <w:sz w:val="20"/>
              </w:rPr>
              <w:t xml:space="preserve"> </w:t>
            </w:r>
          </w:p>
          <w:p w:rsidR="00557237" w:rsidRPr="00BF638C" w:rsidRDefault="00557237" w:rsidP="0005723A">
            <w:pPr>
              <w:pStyle w:val="Tekstpodstawowy"/>
              <w:numPr>
                <w:ilvl w:val="0"/>
                <w:numId w:val="4"/>
              </w:numPr>
            </w:pPr>
            <w:r w:rsidRPr="00BF638C">
              <w:rPr>
                <w:rFonts w:ascii="Verdana" w:hAnsi="Verdana" w:cs="Verdana"/>
                <w:bCs/>
                <w:sz w:val="20"/>
              </w:rPr>
              <w:t xml:space="preserve">ustawa </w:t>
            </w:r>
            <w:r w:rsidRPr="00BF638C">
              <w:rPr>
                <w:rFonts w:ascii="Verdana" w:hAnsi="Verdana" w:cs="Verdana"/>
                <w:sz w:val="20"/>
              </w:rPr>
              <w:t xml:space="preserve">z dnia 29 lipca 2005 r. </w:t>
            </w:r>
            <w:r w:rsidRPr="00BF638C">
              <w:rPr>
                <w:rFonts w:ascii="Verdana" w:hAnsi="Verdana" w:cs="Verdana"/>
                <w:bCs/>
                <w:sz w:val="20"/>
              </w:rPr>
              <w:t>o przeciwdziałaniu przemocy w rodzinie</w:t>
            </w:r>
          </w:p>
          <w:p w:rsidR="00557237" w:rsidRDefault="00557237" w:rsidP="0005723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F638C">
              <w:rPr>
                <w:rFonts w:ascii="Verdana" w:eastAsia="Verdana" w:hAnsi="Verdana" w:cs="Verdana"/>
                <w:sz w:val="20"/>
                <w:szCs w:val="20"/>
              </w:rPr>
              <w:t xml:space="preserve">          </w:t>
            </w:r>
            <w:r w:rsidRPr="00BF638C">
              <w:rPr>
                <w:rFonts w:ascii="Verdana" w:hAnsi="Verdana" w:cs="Verdana"/>
                <w:sz w:val="20"/>
                <w:szCs w:val="20"/>
              </w:rPr>
              <w:t xml:space="preserve">(Dz. U. z </w:t>
            </w:r>
            <w:r w:rsidRPr="00BF638C">
              <w:rPr>
                <w:rFonts w:ascii="Verdana" w:hAnsi="Verdana" w:cs="Verdana"/>
                <w:bCs/>
                <w:sz w:val="20"/>
                <w:szCs w:val="20"/>
              </w:rPr>
              <w:t>2015 r. poz. 1390</w:t>
            </w:r>
            <w:r w:rsidRPr="00BF638C">
              <w:rPr>
                <w:rFonts w:ascii="Verdana" w:hAnsi="Verdana" w:cs="Verdana"/>
                <w:sz w:val="20"/>
                <w:szCs w:val="20"/>
              </w:rPr>
              <w:t>),</w:t>
            </w:r>
          </w:p>
          <w:p w:rsidR="00557237" w:rsidRDefault="00557237" w:rsidP="0005723A">
            <w:pPr>
              <w:numPr>
                <w:ilvl w:val="0"/>
                <w:numId w:val="4"/>
              </w:numPr>
              <w:jc w:val="both"/>
            </w:pPr>
            <w:r>
              <w:rPr>
                <w:rFonts w:ascii="Verdana" w:hAnsi="Verdana" w:cs="Verdana"/>
                <w:sz w:val="20"/>
              </w:rPr>
              <w:t xml:space="preserve">ustawa z dnia 29 sierpnia 1997 r. o ochronie danych osobowych </w:t>
            </w:r>
            <w:r w:rsidRPr="00BF638C">
              <w:rPr>
                <w:rFonts w:ascii="Verdana" w:hAnsi="Verdana" w:cs="Verdana"/>
                <w:sz w:val="20"/>
              </w:rPr>
              <w:t xml:space="preserve">(Dz. U. z 2018 r. poz. 1000, z </w:t>
            </w:r>
            <w:proofErr w:type="spellStart"/>
            <w:r w:rsidRPr="00BF638C">
              <w:rPr>
                <w:rFonts w:ascii="Verdana" w:hAnsi="Verdana" w:cs="Verdana"/>
                <w:sz w:val="20"/>
              </w:rPr>
              <w:t>późn</w:t>
            </w:r>
            <w:proofErr w:type="spellEnd"/>
            <w:r w:rsidRPr="00BF638C">
              <w:rPr>
                <w:rFonts w:ascii="Verdana" w:hAnsi="Verdana" w:cs="Verdana"/>
                <w:sz w:val="20"/>
              </w:rPr>
              <w:t>. zm.).</w:t>
            </w:r>
            <w:r>
              <w:t xml:space="preserve"> </w:t>
            </w:r>
          </w:p>
        </w:tc>
      </w:tr>
      <w:tr w:rsidR="00557237" w:rsidTr="00557237">
        <w:trPr>
          <w:gridBefore w:val="1"/>
          <w:wBefore w:w="10" w:type="dxa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Default="00557237" w:rsidP="0005723A">
            <w:pPr>
              <w:spacing w:before="120"/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UWAGI:</w:t>
            </w:r>
          </w:p>
          <w:p w:rsidR="00557237" w:rsidRDefault="00557237" w:rsidP="0005723A">
            <w:pPr>
              <w:spacing w:before="120"/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1. SPOSÓB ZAŁATWIENIA SPRAWY:</w:t>
            </w:r>
          </w:p>
          <w:p w:rsidR="00557237" w:rsidRDefault="00F2569B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złożenie wniosku do Gminnej</w:t>
            </w:r>
            <w:r w:rsidR="00557237">
              <w:rPr>
                <w:rFonts w:ascii="Verdana" w:hAnsi="Verdana" w:cs="Verdana"/>
                <w:sz w:val="20"/>
                <w:szCs w:val="20"/>
              </w:rPr>
              <w:t xml:space="preserve"> Komisji Rozwiązywania Problemów Al</w:t>
            </w:r>
            <w:r>
              <w:rPr>
                <w:rFonts w:ascii="Verdana" w:hAnsi="Verdana" w:cs="Verdana"/>
                <w:sz w:val="20"/>
                <w:szCs w:val="20"/>
              </w:rPr>
              <w:t>koholowych w Pniewach</w:t>
            </w:r>
            <w:r w:rsidR="00557237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ind w:left="612" w:right="76" w:hanging="306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wezwanie podejrzewanego o nadużywanie alkoholu i wnioskodawcy                                 na posiedzenie Komisji w celu dokonania wyjaśnień (zebrania faktów) oraz   zmotywowania do dobrowolnego podjęcia leczenia odwykowego,             </w:t>
            </w:r>
          </w:p>
          <w:p w:rsidR="00557237" w:rsidRPr="00046150" w:rsidRDefault="00557237" w:rsidP="0005723A">
            <w:pPr>
              <w:numPr>
                <w:ilvl w:val="0"/>
                <w:numId w:val="3"/>
              </w:numPr>
              <w:ind w:right="-284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wskazanie placówki lecznictwa odwykowego, w której osoba </w:t>
            </w:r>
          </w:p>
          <w:p w:rsidR="00557237" w:rsidRDefault="00557237" w:rsidP="0005723A">
            <w:pPr>
              <w:ind w:left="644" w:right="-284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nadużywająca </w:t>
            </w:r>
            <w:r w:rsidRPr="00046150">
              <w:rPr>
                <w:rFonts w:ascii="Verdana" w:hAnsi="Verdana" w:cs="Verdana"/>
                <w:sz w:val="20"/>
                <w:szCs w:val="20"/>
              </w:rPr>
              <w:t>może podjąć leczenie,</w:t>
            </w:r>
          </w:p>
          <w:p w:rsidR="00557237" w:rsidRPr="00046150" w:rsidRDefault="00557237" w:rsidP="0005723A">
            <w:pPr>
              <w:numPr>
                <w:ilvl w:val="0"/>
                <w:numId w:val="3"/>
              </w:numPr>
              <w:ind w:right="76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komisja monitoruje przebieg leczenia odwykowego, jeżeli osoba podejrzewana </w:t>
            </w:r>
          </w:p>
          <w:p w:rsidR="00557237" w:rsidRDefault="00557237" w:rsidP="0005723A">
            <w:pPr>
              <w:ind w:left="644" w:right="76"/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o nadużywanie alkoholu zobowiąże się do podjęcia dobrowolnego leczenia odwykowego,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w przypadku, gdy osoba nadużywająca alkoholu odmawia poddania się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dobrowolnemu leczeniu, Komisja kieruje osobę podejrzewaną do biegłych  sądowych w celu wydania opinii w przedmiocie uzależnienia od alkoholu 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i wskazania rodzaju zakładu leczniczego,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biegli sądowi wydają opinię w przedmiocie uzależnienia od alkoholu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i wskazują rodzaj zakładu leczniczego,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komisja przekazuje do Sądu Rejonowego w </w:t>
            </w:r>
            <w:r w:rsidR="00F2569B">
              <w:rPr>
                <w:rFonts w:ascii="Verdana" w:hAnsi="Verdana" w:cs="Verdana"/>
                <w:sz w:val="20"/>
                <w:szCs w:val="20"/>
              </w:rPr>
              <w:t>Grójcu –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Wydział Rodziny i Nieletnich zebraną dokumentację wraz z wnioskiem </w:t>
            </w:r>
            <w:r w:rsidRPr="00046150">
              <w:rPr>
                <w:rFonts w:ascii="Verdana" w:hAnsi="Verdana" w:cs="Verdana"/>
                <w:sz w:val="20"/>
                <w:szCs w:val="20"/>
              </w:rPr>
              <w:t>o zastosowanie obowiązku poddania się leczeniu odwykowemu w stacjonarnym (Szpital) lub niest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acjonarnym (Poradnia Odwykowa) </w:t>
            </w:r>
            <w:r w:rsidRPr="00046150">
              <w:rPr>
                <w:rFonts w:ascii="Verdana" w:hAnsi="Verdana" w:cs="Verdana"/>
                <w:sz w:val="20"/>
                <w:szCs w:val="20"/>
              </w:rPr>
              <w:t>zakładzie lecznictwa odwykowego,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w przypadku niezgłoszenia się do biegłych sądowych, Sąd zarządza doprowadzenie przez Policję na badanie w przedmiocie uzależnienia,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obowiązek poddania się leczeniu trwa tak długo, jak wymaga tego cel leczenia, nie dłużej jednak niż dwa lata od chwili uprawomocnienia się postanowienia Sądu ( uprawomocnienie trwa 21 dni),</w:t>
            </w:r>
          </w:p>
          <w:p w:rsidR="00557237" w:rsidRDefault="00557237" w:rsidP="0005723A">
            <w:pPr>
              <w:numPr>
                <w:ilvl w:val="0"/>
                <w:numId w:val="3"/>
              </w:num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w przypadku uchylania się lub nieskuteczności leczenia niestacjonarnego (Poradnia Odwykowa) Sąd może zamienić je na prośbę wnioskodawcy we współpracy z kuratorem sądowym na leczenie stacjonarne (Szpital).</w:t>
            </w:r>
          </w:p>
          <w:p w:rsidR="00557237" w:rsidRDefault="00557237" w:rsidP="0005723A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557237" w:rsidRDefault="00557237" w:rsidP="0005723A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2.</w:t>
            </w:r>
            <w:r>
              <w:rPr>
                <w:rFonts w:ascii="Verdana" w:hAnsi="Verdana" w:cs="Verdana"/>
                <w:b/>
                <w:sz w:val="20"/>
                <w:szCs w:val="18"/>
              </w:rPr>
              <w:t xml:space="preserve"> WAŻNE INFORMACJE:</w:t>
            </w:r>
          </w:p>
          <w:p w:rsidR="00557237" w:rsidRDefault="00557237" w:rsidP="0005723A">
            <w:pPr>
              <w:numPr>
                <w:ilvl w:val="0"/>
                <w:numId w:val="2"/>
              </w:numPr>
              <w:ind w:left="641" w:hanging="357"/>
              <w:jc w:val="both"/>
            </w:pPr>
            <w:r>
              <w:rPr>
                <w:rFonts w:ascii="Verdana" w:hAnsi="Verdana" w:cs="Verdana"/>
                <w:sz w:val="20"/>
                <w:szCs w:val="18"/>
              </w:rPr>
              <w:t>w przypadku, gdy osoba skierowana na leczenie odwykowe, nie podejmie leczenia, wnioskodawca natychmiast powinien zawiadomić Komisję,</w:t>
            </w:r>
          </w:p>
          <w:p w:rsidR="00557237" w:rsidRDefault="00557237" w:rsidP="0005723A">
            <w:pPr>
              <w:numPr>
                <w:ilvl w:val="0"/>
                <w:numId w:val="2"/>
              </w:numPr>
              <w:ind w:left="641" w:hanging="357"/>
              <w:jc w:val="both"/>
            </w:pPr>
            <w:r>
              <w:rPr>
                <w:rFonts w:ascii="Verdana" w:hAnsi="Verdana" w:cs="Verdana"/>
                <w:sz w:val="20"/>
                <w:szCs w:val="18"/>
              </w:rPr>
              <w:t>jeżeli osoba podejrzewana o nadużywanie alkoholu nie stawi się na posiedzenie Komisji lub nie podejmie dobrowolnego leczenia odwykowego, Komisja może wezwać ją ponownie,</w:t>
            </w:r>
          </w:p>
          <w:p w:rsidR="00557237" w:rsidRDefault="00557237" w:rsidP="0005723A">
            <w:pPr>
              <w:numPr>
                <w:ilvl w:val="0"/>
                <w:numId w:val="2"/>
              </w:numPr>
              <w:ind w:left="641" w:hanging="357"/>
              <w:jc w:val="both"/>
            </w:pPr>
            <w:r>
              <w:rPr>
                <w:rFonts w:ascii="Verdana" w:hAnsi="Verdana" w:cs="Verdana"/>
                <w:sz w:val="20"/>
                <w:szCs w:val="18"/>
              </w:rPr>
              <w:t xml:space="preserve">wnioskodawca zobowiązany jest do  informowania  Komisji o zaistniałych zmianach dotyczących osoby podejrzanej o nadużywanie alkoholu np. pobyt </w:t>
            </w:r>
          </w:p>
          <w:p w:rsidR="00557237" w:rsidRDefault="00557237" w:rsidP="0005723A">
            <w:pPr>
              <w:ind w:left="612"/>
              <w:jc w:val="both"/>
            </w:pPr>
            <w:r>
              <w:rPr>
                <w:rFonts w:ascii="Verdana" w:hAnsi="Verdana" w:cs="Verdana"/>
                <w:sz w:val="20"/>
                <w:szCs w:val="18"/>
              </w:rPr>
              <w:t xml:space="preserve">w Zakładzie Karnym, szpitalu, pobyt za granicą, zmiana miejsca zamieszkania   </w:t>
            </w:r>
            <w:r>
              <w:rPr>
                <w:rFonts w:ascii="Verdana" w:hAnsi="Verdana" w:cs="Verdana"/>
                <w:sz w:val="20"/>
                <w:szCs w:val="18"/>
              </w:rPr>
              <w:br/>
              <w:t>i inne informacje ułatwiające przebieg postępowania Komisji.</w:t>
            </w:r>
          </w:p>
          <w:p w:rsidR="00557237" w:rsidRDefault="00557237" w:rsidP="0005723A">
            <w:pPr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557237" w:rsidRPr="00D156A8" w:rsidTr="00557237">
        <w:trPr>
          <w:gridAfter w:val="1"/>
          <w:wAfter w:w="10" w:type="dxa"/>
        </w:trPr>
        <w:tc>
          <w:tcPr>
            <w:tcW w:w="92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237" w:rsidRPr="00D156A8" w:rsidRDefault="00557237" w:rsidP="0005723A">
            <w:pPr>
              <w:spacing w:before="12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156A8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KLAUZULE INFORMACYJNE:</w:t>
            </w:r>
          </w:p>
          <w:p w:rsidR="00557237" w:rsidRPr="00D156A8" w:rsidRDefault="00557237" w:rsidP="0005723A">
            <w:pPr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Zgodnie z art. 13 ogólnego rozporządzenia o ochronie danych osobowych z dnia 27 kwietnia 2016 r. informuję, iż: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 w:cs="Verdana"/>
                <w:sz w:val="20"/>
                <w:szCs w:val="20"/>
              </w:rPr>
              <w:t>1</w:t>
            </w:r>
            <w:r w:rsidRPr="00D156A8">
              <w:rPr>
                <w:rFonts w:ascii="Verdana" w:hAnsi="Verdana"/>
                <w:sz w:val="20"/>
                <w:szCs w:val="20"/>
              </w:rPr>
              <w:t xml:space="preserve">) administratorem Pani/Pana danych jest </w:t>
            </w:r>
            <w:r w:rsidR="00F2569B">
              <w:rPr>
                <w:rFonts w:ascii="Verdana" w:hAnsi="Verdana"/>
                <w:sz w:val="20"/>
                <w:szCs w:val="20"/>
              </w:rPr>
              <w:t xml:space="preserve">Wójt Gminy Pniewy </w:t>
            </w:r>
            <w:r w:rsidRPr="00D156A8">
              <w:rPr>
                <w:rFonts w:ascii="Verdana" w:hAnsi="Verdana"/>
                <w:sz w:val="20"/>
                <w:szCs w:val="20"/>
              </w:rPr>
              <w:t xml:space="preserve">                     z siedzibą </w:t>
            </w:r>
            <w:r w:rsidR="00F2569B">
              <w:rPr>
                <w:rFonts w:ascii="Verdana" w:hAnsi="Verdana"/>
                <w:sz w:val="20"/>
                <w:szCs w:val="20"/>
              </w:rPr>
              <w:t>Urząd Gminy Pniewy, Pniewy 2, 05-652 Pniewy</w:t>
            </w:r>
            <w:r w:rsidRPr="00D156A8">
              <w:rPr>
                <w:rFonts w:ascii="Verdana" w:hAnsi="Verdana"/>
                <w:sz w:val="20"/>
                <w:szCs w:val="20"/>
              </w:rPr>
              <w:t>,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 xml:space="preserve">2) kontakt z Inspektorem Ochrony Danych jest możliwy pod adresem email: </w:t>
            </w:r>
            <w:r w:rsidR="00F2569B">
              <w:rPr>
                <w:rFonts w:ascii="Verdana" w:hAnsi="Verdana"/>
                <w:sz w:val="20"/>
                <w:szCs w:val="20"/>
              </w:rPr>
              <w:t>inspektor@cbi24.pl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3) Pani/Pana dane osobowe przetwarzane będą w celu pr</w:t>
            </w:r>
            <w:r w:rsidR="00004AE3">
              <w:rPr>
                <w:rFonts w:ascii="Verdana" w:hAnsi="Verdana"/>
                <w:sz w:val="20"/>
                <w:szCs w:val="20"/>
              </w:rPr>
              <w:t>owadzenia dokumentacji działań Gminnej</w:t>
            </w:r>
            <w:r w:rsidRPr="00D156A8">
              <w:rPr>
                <w:rFonts w:ascii="Verdana" w:hAnsi="Verdana"/>
                <w:sz w:val="20"/>
                <w:szCs w:val="20"/>
              </w:rPr>
              <w:t xml:space="preserve"> Komisji Rozwiązywania Problemów Alkoholowych w </w:t>
            </w:r>
            <w:r w:rsidR="00004AE3">
              <w:rPr>
                <w:rFonts w:ascii="Verdana" w:hAnsi="Verdana"/>
                <w:sz w:val="20"/>
                <w:szCs w:val="20"/>
              </w:rPr>
              <w:t>Pniewach</w:t>
            </w:r>
            <w:bookmarkStart w:id="0" w:name="_GoBack"/>
            <w:bookmarkEnd w:id="0"/>
            <w:r w:rsidRPr="00D156A8">
              <w:rPr>
                <w:rFonts w:ascii="Verdana" w:hAnsi="Verdana"/>
                <w:sz w:val="20"/>
                <w:szCs w:val="20"/>
              </w:rPr>
              <w:t xml:space="preserve"> oraz  zmotywowanie do podjęcia leczenia odwykowego osób uzależnionych na podstawie art. 6 ust. 1 lit. c, e oraz  art. 9 ust. 2 lit. b, h, -  ogólnego rozporządzenia o ochronie danych osobowych z dnia 27 kwietnia 2016 r.,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4)  odbiorcami Pana/Pani danych osobowych będą jednostki uprawnione na postawie przepisów szczególnych,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5)  Pana/Pani dane osobowe przechowywane będą przez okres 10 lat,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6)  posiada Pani/Pan prawo do: żądania od administratora dostępu do danych osobowych, prawo do ich sprostowania,</w:t>
            </w:r>
          </w:p>
          <w:p w:rsidR="00557237" w:rsidRPr="00D156A8" w:rsidRDefault="00557237" w:rsidP="0005723A">
            <w:pPr>
              <w:ind w:left="601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7)  ma Pan/Pani prawo wniesienia skargi do organu nadzorczego,</w:t>
            </w:r>
          </w:p>
          <w:p w:rsidR="00557237" w:rsidRPr="00D156A8" w:rsidRDefault="00557237" w:rsidP="0005723A">
            <w:pPr>
              <w:spacing w:after="120"/>
              <w:ind w:left="601" w:hanging="283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156A8">
              <w:rPr>
                <w:rFonts w:ascii="Verdana" w:hAnsi="Verdana"/>
                <w:sz w:val="20"/>
                <w:szCs w:val="20"/>
              </w:rPr>
              <w:t>8)  podanie danych osobowych jest wymogiem ustawowym i jest obligatoryjne.</w:t>
            </w:r>
          </w:p>
        </w:tc>
      </w:tr>
    </w:tbl>
    <w:p w:rsidR="007461A9" w:rsidRDefault="007461A9"/>
    <w:sectPr w:rsidR="0074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Verdana" w:hint="default"/>
        <w:b w:val="0"/>
        <w:sz w:val="20"/>
        <w:szCs w:val="1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3">
    <w:nsid w:val="00000004"/>
    <w:multiLevelType w:val="multilevel"/>
    <w:tmpl w:val="DD74293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Cs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37"/>
    <w:rsid w:val="00004AE3"/>
    <w:rsid w:val="00557237"/>
    <w:rsid w:val="007461A9"/>
    <w:rsid w:val="00F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57237"/>
    <w:pPr>
      <w:keepNext/>
      <w:numPr>
        <w:numId w:val="1"/>
      </w:numPr>
      <w:jc w:val="center"/>
      <w:outlineLvl w:val="0"/>
    </w:pPr>
    <w:rPr>
      <w:rFonts w:ascii="Verdana" w:hAnsi="Verdana" w:cs="Verdana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237"/>
    <w:rPr>
      <w:rFonts w:ascii="Verdana" w:eastAsia="Times New Roman" w:hAnsi="Verdana" w:cs="Verdana"/>
      <w:b/>
      <w:sz w:val="20"/>
      <w:lang w:eastAsia="zh-CN"/>
    </w:rPr>
  </w:style>
  <w:style w:type="character" w:styleId="Hipercze">
    <w:name w:val="Hyperlink"/>
    <w:rsid w:val="00557237"/>
    <w:rPr>
      <w:color w:val="0000FF"/>
      <w:u w:val="single"/>
    </w:rPr>
  </w:style>
  <w:style w:type="character" w:customStyle="1" w:styleId="NormalnyWebZnak">
    <w:name w:val="Normalny (Web) Znak"/>
    <w:rsid w:val="00557237"/>
    <w:rPr>
      <w:sz w:val="24"/>
      <w:szCs w:val="24"/>
      <w:lang w:val="pl-PL" w:bidi="ar-SA"/>
    </w:rPr>
  </w:style>
  <w:style w:type="paragraph" w:styleId="Tekstpodstawowy">
    <w:name w:val="Body Text"/>
    <w:basedOn w:val="Normalny"/>
    <w:link w:val="TekstpodstawowyZnak"/>
    <w:rsid w:val="005572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723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57237"/>
    <w:pPr>
      <w:keepNext/>
      <w:numPr>
        <w:numId w:val="1"/>
      </w:numPr>
      <w:jc w:val="center"/>
      <w:outlineLvl w:val="0"/>
    </w:pPr>
    <w:rPr>
      <w:rFonts w:ascii="Verdana" w:hAnsi="Verdana" w:cs="Verdana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237"/>
    <w:rPr>
      <w:rFonts w:ascii="Verdana" w:eastAsia="Times New Roman" w:hAnsi="Verdana" w:cs="Verdana"/>
      <w:b/>
      <w:sz w:val="20"/>
      <w:lang w:eastAsia="zh-CN"/>
    </w:rPr>
  </w:style>
  <w:style w:type="character" w:styleId="Hipercze">
    <w:name w:val="Hyperlink"/>
    <w:rsid w:val="00557237"/>
    <w:rPr>
      <w:color w:val="0000FF"/>
      <w:u w:val="single"/>
    </w:rPr>
  </w:style>
  <w:style w:type="character" w:customStyle="1" w:styleId="NormalnyWebZnak">
    <w:name w:val="Normalny (Web) Znak"/>
    <w:rsid w:val="00557237"/>
    <w:rPr>
      <w:sz w:val="24"/>
      <w:szCs w:val="24"/>
      <w:lang w:val="pl-PL" w:bidi="ar-SA"/>
    </w:rPr>
  </w:style>
  <w:style w:type="paragraph" w:styleId="Tekstpodstawowy">
    <w:name w:val="Body Text"/>
    <w:basedOn w:val="Normalny"/>
    <w:link w:val="TekstpodstawowyZnak"/>
    <w:rsid w:val="0055723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723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2021-03-30T11:04:00Z</dcterms:created>
  <dcterms:modified xsi:type="dcterms:W3CDTF">2021-03-30T11:26:00Z</dcterms:modified>
</cp:coreProperties>
</file>