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95" w:rsidRDefault="00931A95" w:rsidP="00931A95">
      <w:pPr>
        <w:keepLines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UZASADNIENIE </w:t>
      </w:r>
    </w:p>
    <w:p w:rsidR="00931A95" w:rsidRDefault="00F94355" w:rsidP="00931A95">
      <w:pPr>
        <w:keepLines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PROJEKT </w:t>
      </w:r>
      <w:r w:rsidR="00931A95">
        <w:rPr>
          <w:rFonts w:ascii="Times New Roman" w:eastAsia="Times New Roman" w:hAnsi="Times New Roman" w:cs="Times New Roman"/>
          <w:szCs w:val="24"/>
          <w:lang w:val="pl-PL" w:eastAsia="pl-PL" w:bidi="pl-PL"/>
        </w:rPr>
        <w:t>UCHWAŁY RADY GMINY PNIEWY</w:t>
      </w:r>
    </w:p>
    <w:p w:rsidR="00DD51D6" w:rsidRDefault="00931A95" w:rsidP="00DD51D6">
      <w:pPr>
        <w:keepLine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sprawie miejscowego planu zagospodarowan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ia przestrzennego dla wskazanej działki </w:t>
      </w:r>
    </w:p>
    <w:p w:rsidR="00931A95" w:rsidRDefault="00DD51D6" w:rsidP="00DD51D6">
      <w:pPr>
        <w:keepLine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we wsi Kruszewek</w:t>
      </w:r>
    </w:p>
    <w:p w:rsidR="00931A95" w:rsidRDefault="00931A95" w:rsidP="00931A9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931A95" w:rsidRPr="004C1F1B" w:rsidRDefault="00931A95" w:rsidP="00931A9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Prace planistyczne dotyczące sporządzenia miejscowego planu zagospodarowan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>ia przestrzennego dla wskazanej działki we wsi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Kruszewek, prowadzone były zgodnie z trybem uchwalania miejscowego planu zagospodarowania przestrzennego, określonym w ustawie z dnia 27 marca 2003 r. o planowaniu i zagospodarowa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>niu przestrzennym (Dz. U. z 2023 r. poz. 977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późn</w:t>
      </w:r>
      <w:proofErr w:type="spellEnd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. zm.). Podstawą do rozpoczęcia prac planistycznych była </w:t>
      </w:r>
      <w:r w:rsidR="00DD51D6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uchwała Nr LV.342</w:t>
      </w:r>
      <w:r w:rsidRPr="004C1F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.22 Rady Gminy Pniewy z dnia 28 kwietnia 2022 r. w sprawie przystąpienia do sporządzenia miejscowego planu zagospodarowan</w:t>
      </w:r>
      <w:r w:rsidR="00DD51D6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ia przestrzennego dla wskazanej działki we wsi Kruszewek</w:t>
      </w:r>
      <w:r w:rsidRPr="004C1F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.</w:t>
      </w:r>
    </w:p>
    <w:p w:rsidR="001C45ED" w:rsidRDefault="00931A95" w:rsidP="004E66D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Zgodnie z uchwałą z dnia 28 kwietnia 2022 r., p</w:t>
      </w:r>
      <w:r w:rsidR="00AE750D">
        <w:rPr>
          <w:rFonts w:ascii="Times New Roman" w:eastAsia="Times New Roman" w:hAnsi="Times New Roman" w:cs="Times New Roman"/>
          <w:szCs w:val="24"/>
          <w:lang w:val="pl-PL" w:eastAsia="pl-PL" w:bidi="pl-PL"/>
        </w:rPr>
        <w:t>l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>anem objęto wskazaną w uchwale Nr LV.342.22 działkę w miejscowości Kruszewek,</w:t>
      </w:r>
      <w:r w:rsidR="00AE750D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o powierzchni </w:t>
      </w:r>
      <w:r w:rsidR="00DD51D6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6,89 </w:t>
      </w:r>
      <w:r w:rsidR="00AE750D" w:rsidRPr="004C1F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ha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>. Teren objęty opracowaniem graniczy bezpośrednio z drogą gminną</w:t>
      </w:r>
      <w:r w:rsidR="00AE750D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. Na terenie objętym miejscowym planem zagospodarowania występują w przeważającej większości tereny rolne, łąki, tereny leśne oraz grunty zabudowane. Tereny występujące w sąsiedztwie to grunty rolne, tereny zabudowy zagrodowej oraz zabudowy mieszkaniowej jednorodzinnej. </w:t>
      </w:r>
    </w:p>
    <w:p w:rsidR="001C45ED" w:rsidRDefault="001C45ED" w:rsidP="00931A9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Projekt miejscowego planu zagospodarowania przestrzennego, wraz z niezbędnymi </w:t>
      </w:r>
      <w:r w:rsidR="004E66DB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dokumentami planistycznymi, w tym prognozą oddziaływania na środowisko oraz prognozą skutków finansowych uchwalenia planu, został opracowany zgodnie z obowiązującymi przepisami w tym: ustawą z dnia 27 marca 2003 r. o planowaniu i zagospodarowaniu przestrzennym, ustawą z dnia 3 października 2008 r. o udostępnianiu informacji o środowisku i jego ochronie, udziale społeczeństwa w ochronie środowiska oraz ocenach oddziaływania na środowisko oraz rozporządzeniem Ministra Rozwoju i Technologii z dnia 17 grudnia 2021 r.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  <w:r w:rsidR="004E66DB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sprawie wymaganego zakresu projektu miejscowego planu zagospodarowania przestrzennego. </w:t>
      </w:r>
    </w:p>
    <w:p w:rsidR="0051591B" w:rsidRDefault="004E66DB" w:rsidP="008A20A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Zgodnie z art. 4 ust. Ustawy z dnia 27 marca 2003 r. o planowaniu i zagospodarowaniu przestrzennym, w opracowanym miejscowym planie zagospodarowania przestrzennego ustalono przeznaczenia terenu, rozmieszczenie inwestycji celu publicznego oraz określono sposób zagospodarowania i warunki zabudowy terenu. </w:t>
      </w:r>
    </w:p>
    <w:p w:rsidR="008C336B" w:rsidRDefault="008C336B" w:rsidP="008A20A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ramach przeprowadzonej procedury związanej ze sporządzeniem miejscowego planu zagospodarowania przestrzennego uzyskano zgodę na zmianę przeznaczenia na cele nieleśne gruntów leśnych niestanowiących własności Skarbu Państwa, decyzja z dnia 9 października 2023 r. Marszałka Województwa Mazowieckiego.</w:t>
      </w:r>
      <w:bookmarkStart w:id="0" w:name="_GoBack"/>
      <w:bookmarkEnd w:id="0"/>
    </w:p>
    <w:p w:rsidR="008A20A5" w:rsidRDefault="008A20A5" w:rsidP="008A20A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Stosownie do zapisów art. 15 ust. 1 ustawy z dnia 27 marca 2003 r. o planowaniu i zagospodarowaniu przestrzennym, Wójt Gminy Pniewy sporządził projekt planu miejscowego, zawierający część tekstową 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i graficzną, zgodny z zapisami studium uwarunkowań i kierunków zagospodarowania przestrzennego Gminy Pniewy (Uchwała Rady Gminy Pniewy Nr XXXIX.192.18 z dnia 11 września 2018r.) oraz przepisami odrębnymi, odnoszącymi się do obszaru objętego planem wraz z uzasadnieniem.</w:t>
      </w:r>
    </w:p>
    <w:p w:rsidR="008A20A5" w:rsidRPr="0082171B" w:rsidRDefault="008A20A5" w:rsidP="00D91B33">
      <w:pPr>
        <w:pStyle w:val="Akapitzlist"/>
        <w:keepLines/>
        <w:pageBreakBefore/>
        <w:numPr>
          <w:ilvl w:val="0"/>
          <w:numId w:val="1"/>
        </w:numPr>
        <w:spacing w:before="120" w:after="120" w:line="240" w:lineRule="auto"/>
        <w:ind w:left="584" w:hanging="357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lastRenderedPageBreak/>
        <w:t>Sposób spełnienia wymogó</w:t>
      </w:r>
      <w:r w:rsidR="00AE6A7C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w wynikających z art. 1 ust. 2</w:t>
      </w: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 ustawy z dnia 27 marca 2003 r. o planowaniu i zagospodarowaniu przestrzennym:</w:t>
      </w:r>
    </w:p>
    <w:p w:rsidR="0082171B" w:rsidRDefault="0009160A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zachowania ładu przestrzennego, w tym architektury i urbanistyki.</w:t>
      </w:r>
    </w:p>
    <w:p w:rsidR="0009160A" w:rsidRPr="0009160A" w:rsidRDefault="0009160A" w:rsidP="0009160A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planie miejscowym zawarto ustalenia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dotyczące kształtowania zabudowy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postaci określenia parametrów takich jak maksymalna wysokość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zabudowy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czy geometria dachów. Ponadto, w celu ochrony ładu przestrzennego, w planie określono minimalną liczbę miejsc postojowych,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 uwzględnieniem rodzaju zabudowy, ustalono zasady obsługi komunikacyjnej terenów, określono warunki podziału nieruchomości w postaci określenia minimalnych powierzchni nowo wy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dzielanych działek budowlanych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oraz ustalono wskaźniki urbanistyczne takie jak minimalna powierzchnia biologicznie czynna, maksymalna powierzchnia zabudowy czy intensywność zabudowy. </w:t>
      </w:r>
    </w:p>
    <w:p w:rsidR="0009160A" w:rsidRDefault="0009160A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zachowania walorów historycznych i krajobrazowych.</w:t>
      </w:r>
    </w:p>
    <w:p w:rsidR="0009160A" w:rsidRDefault="0009160A" w:rsidP="0009160A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celu ochrony walorów historycznych i krajobrazowych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planie miejscowym ustalono zakaz lokalizowania elektrowni wiatrowych oraz sformułowano ustalenia dotyczące rozwiązań architektonicznych, mające na celu ochronę </w:t>
      </w:r>
      <w:r w:rsidR="00693B10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i zachowanie krajobrazu zurbanizowanego. </w:t>
      </w:r>
    </w:p>
    <w:p w:rsidR="0009160A" w:rsidRDefault="0009160A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ochrony środowiska, w tym gospodarowanie wodami i ochrony gruntów rolnych i leśnych.</w:t>
      </w:r>
    </w:p>
    <w:p w:rsidR="00693B10" w:rsidRDefault="00693B10" w:rsidP="00693B10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odniesieniu do wymagań ochrony środowiska, w planie miejscowym wskazano maksymalne dopuszczalne poziomy hałasu dla chronionej akustycznie zabudowy mieszkaniowo – usługowej oraz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zabudowy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zagrodowej, zgodnie z przepisami szczególnymi. W celu ochrony jakości powietrza, wprowadzono zapisy dotyczące obowiązku stosowania urządzeń grzewczych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o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niskiej emisyjności a także stosowanie odnawialnych źródeł energii do celów grzewczych. Ze względu na stopień zainwestowania terenu, charakter zabudowy oraz przeznaczenie w studium uwarunkowań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i kierunków zagospodarowania przestrzennego gminy Pniewy, ochrona gruntów rolnych nie stanowi w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przypadku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tego planu istotnej bariery rozwojowej. Na terenie planu nie występują grunty rolne klas I, II lub III prawnie chronione. Nową zabudowę projektuje się na gruntach rolnych, niskich klas bonitacyjnych (IV-VI) – nie podlegających ochronie. W celu ochrony gruntów leśnych, znajdujących się w obszarze objętym planem miejscowym, ustalono na tych gruntach zakaz zabudowy oraz ustalono ograniczenia w zabudowie w odległości 12 m od terenów leśnych, także tych które znajdują się poza granicami planu.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celu ochrony zasobów wód powierzchniowych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 xml:space="preserve">i podziemnych, na terenach wód powierzchniowych ustalono zakaz zabudowy oraz konieczność stosowania przepisów ustawy prawo wodne, oraz ustalono minimalne odległości zabudowy od wód powierzchniowych. W celu umożliwienia odnawiania się zasobów wód podziemnych wprowadzono zapisy dotyczące zagospodarowania wód opadowych na terenach zielonych związanych 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>z realizowanymi inwestycjami.</w:t>
      </w:r>
    </w:p>
    <w:p w:rsidR="0009160A" w:rsidRDefault="000C5EA8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ochrony dziedzictwa kulturowego i zabytków oraz dóbr kultury współczesnej.</w:t>
      </w:r>
    </w:p>
    <w:p w:rsidR="000C5EA8" w:rsidRDefault="000C5EA8" w:rsidP="000C5EA8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planie miejscowym nie występuje problematyka związana z występowaniem dóbr kultury współczesnej, dziedzictwa kulturowego i zabytków. </w:t>
      </w:r>
    </w:p>
    <w:p w:rsidR="000C5EA8" w:rsidRDefault="000C5EA8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ochrony zdrowia oraz bezpieczeństwa ludzi i mienia a także potrzeby osób niepełnosprawnych.</w:t>
      </w:r>
    </w:p>
    <w:p w:rsidR="000C5EA8" w:rsidRDefault="00675706" w:rsidP="000C5EA8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Na obszarze planu n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ie występują zagrożenia bezpieczeństwa ludzi i mienia w związku z braki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e</w:t>
      </w:r>
      <w:r w:rsidR="000C5EA8">
        <w:rPr>
          <w:rFonts w:ascii="Times New Roman" w:eastAsia="Times New Roman" w:hAnsi="Times New Roman" w:cs="Times New Roman"/>
          <w:szCs w:val="24"/>
          <w:lang w:val="pl-PL" w:eastAsia="pl-PL" w:bidi="pl-PL"/>
        </w:rPr>
        <w:t>m tere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nów na których występuje zagrożenie powodziowe, brakiem terenów osuwiskowych oraz innych czynników, w tym związanych z projektowaną zabudową. </w:t>
      </w:r>
    </w:p>
    <w:p w:rsidR="002F33ED" w:rsidRDefault="00675706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</w:t>
      </w:r>
      <w:r w:rsidR="002F33ED">
        <w:rPr>
          <w:rFonts w:ascii="Times New Roman" w:eastAsia="Times New Roman" w:hAnsi="Times New Roman" w:cs="Times New Roman"/>
          <w:szCs w:val="24"/>
          <w:lang w:val="pl-PL" w:eastAsia="pl-PL" w:bidi="pl-PL"/>
        </w:rPr>
        <w:t>anie uwzględniono wymagania dotyczące ochrony zdrowia, poprzez w</w:t>
      </w:r>
      <w:r w:rsidR="002F33ED" w:rsidRPr="002F33ED">
        <w:rPr>
          <w:rFonts w:ascii="Times New Roman" w:eastAsia="Times New Roman" w:hAnsi="Times New Roman" w:cs="Times New Roman"/>
          <w:szCs w:val="24"/>
          <w:lang w:val="pl-PL" w:eastAsia="pl-PL" w:bidi="pl-PL"/>
        </w:rPr>
        <w:t>skazanie dopuszczalnych poziomów hałasu, w odniesieniu do poszczególnych typów zabudowy określonych w przepisach odrębnych, dotyczących ochrony środowiska w</w:t>
      </w:r>
      <w:r w:rsidR="002F33ED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zakresie ochrony przed hałasem.</w:t>
      </w:r>
    </w:p>
    <w:p w:rsidR="002F33ED" w:rsidRPr="002F33ED" w:rsidRDefault="002F33ED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planie miejscowym uwzględniono potrzeby osób niepełnosprawnych poprzez odniesienie się do obowiązku uwzględnienia przepisów odrębnych w zakresie wyznaczania miejsc postojowych dla samochodów osobowych z uwzględnieniem pojazdów zaopatrzonych w kartę parkingową. </w:t>
      </w:r>
    </w:p>
    <w:p w:rsidR="000C5EA8" w:rsidRDefault="002F33ED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walorów ekonomicznych przestrzeni oraz potrzeb interesu publicznego.</w:t>
      </w:r>
    </w:p>
    <w:p w:rsidR="002F33ED" w:rsidRDefault="002F33ED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lastRenderedPageBreak/>
        <w:t xml:space="preserve">Na obszarze miejscowego planu ustalono tereny na których możliwa będzie lokalizacja usług, w tym usług publicznych, niezbędnych dla zaspokojenia potrzeb lokalnych społeczności. Lokalizacja usług na terenie planu spowoduje wzrost wpływu podatków do budżetu gminy oraz potencjalni stworzy możliwości zatrudnienia dla lokalnej społeczności. </w:t>
      </w:r>
    </w:p>
    <w:p w:rsidR="002F33ED" w:rsidRDefault="002F33ED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praw własności.</w:t>
      </w:r>
    </w:p>
    <w:p w:rsidR="002F33ED" w:rsidRDefault="002F33ED" w:rsidP="002F33ED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świetle obowiązujących przepisów, zapisy planu miejscowego nie naruszają ani nie ograniczają praw własności, chronionych przepisami prawa. Ewentualna lokalizacja </w:t>
      </w:r>
      <w:r w:rsidR="00BD2B3C">
        <w:rPr>
          <w:rFonts w:ascii="Times New Roman" w:eastAsia="Times New Roman" w:hAnsi="Times New Roman" w:cs="Times New Roman"/>
          <w:szCs w:val="24"/>
          <w:lang w:val="pl-PL" w:eastAsia="pl-PL" w:bidi="pl-PL"/>
        </w:rPr>
        <w:t>oraz rozbudowa infrastruktury dróg publicznych, będzie się odbywać zgodnie z obowiązującymi w tym zakresie przepisami, z wykupem gruntu przeznaczonego pod drogi publiczne.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</w:p>
    <w:p w:rsidR="002F33ED" w:rsidRDefault="002F33ED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potrzeb obronności i bezpieczeństwa państwa.</w:t>
      </w:r>
    </w:p>
    <w:p w:rsidR="00BD2B3C" w:rsidRDefault="00BD2B3C" w:rsidP="00BD2B3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zakresie wymagań dotyczących potrzeb obronności i bezpieczeństwa państwa, w trakcie przeprowadzonej procedury planistycznej, wystąpiono o wnioski oraz uzgodnienia do właściwych organów państwowych, zajmujących się obronnością i bezpieczeństwem państwa. Ze względu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położenie obszaru opracowania oraz przeznaczenie funkcjonalne terenów, na obszarze planu nie występuje konieczność uwzględniania problematyki związanej z obronnością i bezpieczeństwem państwa. </w:t>
      </w:r>
    </w:p>
    <w:p w:rsidR="00BD2B3C" w:rsidRDefault="00BD2B3C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Wymagania dotyczące potrzeb w zakresie rozwoju infrastruktury technicznej, w szczególności sieci szerokopasmowych.</w:t>
      </w:r>
    </w:p>
    <w:p w:rsidR="00BD2B3C" w:rsidRDefault="00BD2B3C" w:rsidP="00BD2B3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planie ustalono zasady moderni</w:t>
      </w:r>
      <w:r w:rsidR="00D452E5">
        <w:rPr>
          <w:rFonts w:ascii="Times New Roman" w:eastAsia="Times New Roman" w:hAnsi="Times New Roman" w:cs="Times New Roman"/>
          <w:szCs w:val="24"/>
          <w:lang w:val="pl-PL" w:eastAsia="pl-PL" w:bidi="pl-PL"/>
        </w:rPr>
        <w:t>z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acji, rozbudowy i budowy sieci infrastruktury technicznej oraz uzbrojenia terenu, poprzez dopuszczenie na wskazanych terenach planu, możliwość lokalizacji infrastruktury technicznej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a także określono minimalne parametry techniczne, jakie powinna posiadać projektowana infrastruktura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. Ustalono także zasady zaopatrzenia inwestycji w wodę, energię elektryczną, gaz oraz określono sposób odprowadzenia ścieków. W zakresie rozwoju sieci szerokopasmowych, na wskazanych terenach planu dopuszczono możliwość lokalizacji infrastruktury technicznej w zakresie łączności pu</w:t>
      </w:r>
      <w:r w:rsidR="00D452E5">
        <w:rPr>
          <w:rFonts w:ascii="Times New Roman" w:eastAsia="Times New Roman" w:hAnsi="Times New Roman" w:cs="Times New Roman"/>
          <w:szCs w:val="24"/>
          <w:lang w:val="pl-PL" w:eastAsia="pl-PL" w:bidi="pl-PL"/>
        </w:rPr>
        <w:t>b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licznej. </w:t>
      </w:r>
    </w:p>
    <w:p w:rsidR="00BD2B3C" w:rsidRDefault="00BD2B3C" w:rsidP="0009160A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Zapewnienie udziału społeczeństwa w pracach nad miejscowym planem zagospodarowania przestrzennego, w tym przy użyciu środków komunikacji elektronicznej. Zachowanie jawności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i przejrzystości procedur.</w:t>
      </w:r>
    </w:p>
    <w:p w:rsidR="00D452E5" w:rsidRDefault="00D452E5" w:rsidP="00D452E5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Zgodnie z ustawą z dnia 27 marca 2003 r. o planowaniu i zagospodarowaniu przestrzennym, podano do publicznej wiadomości  informację o przystąpieniu do sporządzenia miejscowego planu zagospodarowania przestrzennego – poprzez umieszczenie na tablicy ogłoszeń Urzędu Gminy Pniewy, oraz publikację w prasie lokalnej i Biuletynie Informacji Publicznej. Wójt Gminy Pniewy w ogłoszeniu poinformował o możliwości składania wniosków do projektu planu, oraz wskazał, że z dokumentacją planistyczną można zapoznać się w Urzędzie Gminy Pniewy. </w:t>
      </w:r>
    </w:p>
    <w:p w:rsidR="00AE6A7C" w:rsidRDefault="00D452E5" w:rsidP="00D452E5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etapie wyłożenia do publicznego wglądu projektu planu wraz z prognozą oddziaływania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środowisko, podano do publicznej wiadomości informację o wyłożeniu, wskazano termin dyskusji publicznej oraz termin składania uwag do planu. Ogłoszenie o wyłożeniu zostało </w:t>
      </w:r>
      <w:r w:rsidR="00AE6A7C">
        <w:rPr>
          <w:rFonts w:ascii="Times New Roman" w:eastAsia="Times New Roman" w:hAnsi="Times New Roman" w:cs="Times New Roman"/>
          <w:szCs w:val="24"/>
          <w:lang w:val="pl-PL" w:eastAsia="pl-PL" w:bidi="pl-PL"/>
        </w:rPr>
        <w:t>umieszczone na tablicy ogłoszeń Urzędu Gminy, w prasie lokalnej oraz w Biuletynie Informacji Publicznej</w:t>
      </w:r>
    </w:p>
    <w:p w:rsidR="00AE6A7C" w:rsidRDefault="00AE6A7C" w:rsidP="00AE6A7C">
      <w:pPr>
        <w:pStyle w:val="Akapitzlist"/>
        <w:keepLines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Potrzeba zapewnienia odpowiedniej ilości i jakości wody do celów zaopatrzenia ludności.</w:t>
      </w:r>
    </w:p>
    <w:p w:rsidR="00AE6A7C" w:rsidRDefault="00AE6A7C" w:rsidP="00AE6A7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Plan miejscowy ustala zasady zaopatrzenia w wodę, z uwzględnieniem ograniczeń wynikających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 występowania zabudowy w strefie sanitarnej cmentarza</w:t>
      </w:r>
      <w:r w:rsidR="00D452E5" w:rsidRPr="00AE6A7C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. </w:t>
      </w:r>
    </w:p>
    <w:p w:rsidR="00AE6A7C" w:rsidRPr="00AE6A7C" w:rsidRDefault="00AE6A7C" w:rsidP="00AE6A7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AE6A7C" w:rsidRPr="0082171B" w:rsidRDefault="00AE6A7C" w:rsidP="00AE6A7C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Sposób spełnienia wymogó</w:t>
      </w:r>
      <w:r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w wynikających z art. 1 ust. 3</w:t>
      </w: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 ustawy z dnia 27 marca 2003 r. o planowaniu i zagospodarowaniu przestrzennym:</w:t>
      </w:r>
    </w:p>
    <w:p w:rsidR="00AE6A7C" w:rsidRDefault="00AE6A7C" w:rsidP="00AE6A7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trakcie opracowania planu zagospodarowania przestrzennego, ustalając przeznaczenia terenów oraz określając możliwe sposoby ich zagospodarowania i użytkowania, w związku z koniecznością zabezpieczenia interesu publicznego oraz możliwych do uwzględnienia interesów prywatnych zmierzających do ochrony istniejącego stanu zagospodarowania terenu, jak i zmian w zakresie zagospodarowania, na etapie projektowym wzięto pod uwagę: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lastRenderedPageBreak/>
        <w:t xml:space="preserve">Wnioski zgłaszane na etapie przystąpienia do sporządzenia planu przez właściwe organy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i instytucje uzgadniające i opiniujące plan;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Wnioski określone w prognozie skutków finansowych uchwalenia planu, stanowiące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t>j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materiał analityczny  w zakresie ekonomicznych warunków realizacji założeń planu;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Wnioski określone w prognozie oddziaływania na środowisko, stanowiącej materiał analityczny w zakresie uwarunkowań środowiskowych realizacji założeń planu;</w:t>
      </w:r>
    </w:p>
    <w:p w:rsidR="00AE6A7C" w:rsidRDefault="00AE6A7C" w:rsidP="00AE6A7C">
      <w:pPr>
        <w:pStyle w:val="Akapitzlist"/>
        <w:keepLines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Politykę przestrzenną gminy określoną w studium uwarunkowań i kierunków zagospodarowania przestrzennego gminy. </w:t>
      </w:r>
    </w:p>
    <w:p w:rsidR="00AE6A7C" w:rsidRDefault="00AE6A7C" w:rsidP="00AE6A7C">
      <w:pPr>
        <w:pStyle w:val="Akapitzlist"/>
        <w:keepLines/>
        <w:spacing w:before="120" w:after="120" w:line="240" w:lineRule="auto"/>
        <w:ind w:left="94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AE6A7C" w:rsidRPr="0082171B" w:rsidRDefault="00AE6A7C" w:rsidP="00AE6A7C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Sposób spełnienia wymog</w:t>
      </w:r>
      <w:r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ów wynikających z art. 1 ust. </w:t>
      </w: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4 ustawy z dnia 27 marca 2003 r. o planowaniu i zagospodarowaniu przestrzennym:</w:t>
      </w:r>
    </w:p>
    <w:p w:rsidR="0025736C" w:rsidRDefault="0025736C" w:rsidP="0025736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procesie planistycznym ustalania przeznaczenia terenów dla nowej zabudowy, uwzględniono wymagania ładu przestrzennego, warunki efektywnego gospodarowania przestrzenią oraz walory ekonomiczne przestrzeni.</w:t>
      </w:r>
    </w:p>
    <w:p w:rsidR="0025736C" w:rsidRDefault="0025736C" w:rsidP="0025736C">
      <w:pPr>
        <w:pStyle w:val="Akapitzlist"/>
        <w:keepLines/>
        <w:spacing w:before="120" w:after="120" w:line="240" w:lineRule="auto"/>
        <w:ind w:left="58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planie miejscowym w szczególności wzięto pod uwagę:</w:t>
      </w:r>
    </w:p>
    <w:p w:rsidR="0025736C" w:rsidRDefault="0025736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Zasadę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kształtowania struktur przestrzennych przy uwzględnieniu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dążenia do minimalizowania transportochłonności układu przestrzennego – plan zakłada układ drogowy oparty na istniejącej sieci dróg publicznych, wraz z jej rozbudową.</w:t>
      </w:r>
    </w:p>
    <w:p w:rsidR="0025736C" w:rsidRDefault="0025736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Zasadę lokalizowania nowej zabudowy mieszkaniowej w sposób umożliwiający mieszkańcom maksymalne wykorzystanie publicznego transportu zbiorowego jako podstawowego środka transportu – w związku z położeniem oraz uwarunkowaniami występującymi w gminie, należy stwierdzić, że transport zbiorowy stanowi marginalne znaczenie dla komunikacji lokalnej, wobec czego nie przewidziano w planie terenów, dla których transport zbiorowy byłby niezbędny.</w:t>
      </w:r>
    </w:p>
    <w:p w:rsidR="0025736C" w:rsidRDefault="0025736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Zasadę zapewnienia rozwiązań przestrzennych, ułatwiających przemieszczenie się pieszych </w:t>
      </w:r>
      <w:r w:rsidR="00CC30C1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i rowerzystów -  w planie wprowadzono ustalenia dotyczące </w:t>
      </w:r>
      <w:r w:rsidR="00CC30C1">
        <w:rPr>
          <w:rFonts w:ascii="Times New Roman" w:eastAsia="Times New Roman" w:hAnsi="Times New Roman" w:cs="Times New Roman"/>
          <w:szCs w:val="24"/>
          <w:lang w:val="pl-PL" w:eastAsia="pl-PL" w:bidi="pl-PL"/>
        </w:rPr>
        <w:t>możliwości lokalizacji</w:t>
      </w:r>
      <w:r w:rsidR="000634CC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chodników oraz</w:t>
      </w:r>
      <w:r w:rsidR="00CC30C1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ścieżek rowerowych w liniach rozgraniczających dróg. </w:t>
      </w:r>
    </w:p>
    <w:p w:rsidR="000634CC" w:rsidRPr="0025736C" w:rsidRDefault="000634CC" w:rsidP="0025736C">
      <w:pPr>
        <w:pStyle w:val="Akapitzlist"/>
        <w:keepLines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Zasadę dążenia do planowania i lokalizowania nowej zabudowy na obszarach o wykształconej zwartej strukturze </w:t>
      </w:r>
      <w:proofErr w:type="spellStart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funkcjonalno</w:t>
      </w:r>
      <w:proofErr w:type="spellEnd"/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– przestrzennej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, w granicach jednostki osadniczej,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  <w:t>w szczególności poprzez uzupełnienie istniejącej zabudowy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– w planie zaprojektowano obszary nowej zabudowy, jako uzupełnienie zabudowy istniejącej, w sąsiedztwie występowania sieci infrastrukturalnych,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granicach jednostek osadniczych w rozumieniu art. 2 pkt. 1 ustawy z dnia 29 sierpnia 2003 r. o urzędowych nazwach miejscowości i obiektów fizjograficznych,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miejscach pr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zeznaczonych pod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zabudowę w studium uwarunkowań i kierunków zagospodarowania przestrzennego gminy Pniewy. </w:t>
      </w:r>
    </w:p>
    <w:p w:rsidR="00AE6A7C" w:rsidRPr="00AE6A7C" w:rsidRDefault="00AE6A7C" w:rsidP="00AE6A7C">
      <w:pPr>
        <w:pStyle w:val="Akapitzlist"/>
        <w:keepLines/>
        <w:spacing w:before="120" w:after="120" w:line="240" w:lineRule="auto"/>
        <w:ind w:left="94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8A20A5" w:rsidRPr="00AC77FE" w:rsidRDefault="008A20A5" w:rsidP="008A20A5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Zgodność z wynikami analizy, o której mowa w art. 32 ust. 1 </w:t>
      </w:r>
      <w:r w:rsidR="0082171B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 xml:space="preserve">wraz z datą uchwały rady gminy, </w:t>
      </w:r>
      <w:r w:rsidR="000521F4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br/>
      </w:r>
      <w:r w:rsidR="0082171B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o której mowa w art. 32 ust. 2 ustawy z dnia 27 marca 2003 r. o planowaniu i zag</w:t>
      </w:r>
      <w:r w:rsidR="000521F4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o</w:t>
      </w:r>
      <w:r w:rsidR="0082171B" w:rsidRPr="00AC77FE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t>spodarowaniu przestrzennym oraz sposób uwzględnienia uniwersalnego projektowania:</w:t>
      </w:r>
    </w:p>
    <w:p w:rsidR="0082171B" w:rsidRDefault="00AC77FE" w:rsidP="0009160A">
      <w:pPr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Na obszarze Gminy Pniewy nie dokonano analizy zmian w zagospodarowaniu przestrzennym, </w:t>
      </w:r>
      <w:r w:rsidR="00F25428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kadencji 2018-2023, w związku z tym nie określono zgodności planu w tym zakresie. </w:t>
      </w:r>
    </w:p>
    <w:p w:rsidR="00AC77FE" w:rsidRDefault="00AC77FE" w:rsidP="0009160A">
      <w:pPr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Sposób uwzględnienia uniwersalnego projektowania w miejscowym planie – miejscowy plan stwarza przestrzeń do stosowania zasad „uniwersalnego projektowania” poprzez określenie </w:t>
      </w:r>
      <w:r w:rsidR="0009160A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uniwersalnych parametrów i wskaźników zabudowy. Jednakże, ze względu na ich ogólny charakter oraz stopień uszczegółowienia zapisów planu zagospodarowania przestrzennego, uniwersalne projektowanie stanowi narzędzie w zakresie kształtowania przestrzeni użytkowej, stosowane na poziomie rozwiązań architektonicznych i </w:t>
      </w:r>
      <w:proofErr w:type="spellStart"/>
      <w:r w:rsidR="0009160A">
        <w:rPr>
          <w:rFonts w:ascii="Times New Roman" w:eastAsia="Times New Roman" w:hAnsi="Times New Roman" w:cs="Times New Roman"/>
          <w:szCs w:val="24"/>
          <w:lang w:val="pl-PL" w:eastAsia="pl-PL" w:bidi="pl-PL"/>
        </w:rPr>
        <w:t>konstrukcyjno</w:t>
      </w:r>
      <w:proofErr w:type="spellEnd"/>
      <w:r w:rsidR="0009160A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– budowlanych.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</w:t>
      </w:r>
    </w:p>
    <w:p w:rsidR="0082171B" w:rsidRPr="0082171B" w:rsidRDefault="0082171B" w:rsidP="00D91B33">
      <w:pPr>
        <w:pStyle w:val="Akapitzlist"/>
        <w:keepLines/>
        <w:pageBreakBefore/>
        <w:numPr>
          <w:ilvl w:val="0"/>
          <w:numId w:val="1"/>
        </w:numPr>
        <w:spacing w:before="120" w:after="120" w:line="240" w:lineRule="auto"/>
        <w:ind w:left="584" w:hanging="357"/>
        <w:jc w:val="both"/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</w:pPr>
      <w:r w:rsidRPr="0082171B">
        <w:rPr>
          <w:rFonts w:ascii="Times New Roman" w:eastAsia="Times New Roman" w:hAnsi="Times New Roman" w:cs="Times New Roman"/>
          <w:b/>
          <w:szCs w:val="24"/>
          <w:lang w:val="pl-PL" w:eastAsia="pl-PL" w:bidi="pl-PL"/>
        </w:rPr>
        <w:lastRenderedPageBreak/>
        <w:t>Wpływ na finanse publiczne, w tym budżet gminy:</w:t>
      </w:r>
    </w:p>
    <w:p w:rsidR="0082171B" w:rsidRDefault="0082171B" w:rsidP="000521F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trakcie opracowania miejscowego planu zagospodarowan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>ia przestrzennego dla wskazanej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dział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>ki we wsi Kruszewek</w:t>
      </w:r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>, przeanalizowano wpływ uchwalenia miejscowego planu na finanse publiczne, w tym budżet gminy. Wyniki analizy zostały określone w prognozie skutków finansowych uchwalenia miejscowego planu zagospodarowania przestrzennego, sporządzonej na podstawie przepisów ustawy z dnia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27 marca 2003 r. o planowaniu </w:t>
      </w:r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>i zagospodarowaniu przestrzennym (Dz. U. z 2022 r. poz.</w:t>
      </w:r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503 z </w:t>
      </w:r>
      <w:proofErr w:type="spellStart"/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>poźn</w:t>
      </w:r>
      <w:proofErr w:type="spellEnd"/>
      <w:r w:rsidR="00DD51D6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. zm.) oraz zgodnie </w:t>
      </w:r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z Rozporządzeniem Ministra Rozwoju i Technologii z dnia 17 grudnia 2021 r. w sprawie wymaganego zakresu projektu miejscowego planu zagospodarowania przestrzennego (DZ. U. z 2021 r. poz. 2404 z </w:t>
      </w:r>
      <w:proofErr w:type="spellStart"/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>późn</w:t>
      </w:r>
      <w:proofErr w:type="spellEnd"/>
      <w:r w:rsidR="000521F4">
        <w:rPr>
          <w:rFonts w:ascii="Times New Roman" w:eastAsia="Times New Roman" w:hAnsi="Times New Roman" w:cs="Times New Roman"/>
          <w:szCs w:val="24"/>
          <w:lang w:val="pl-PL" w:eastAsia="pl-PL" w:bidi="pl-PL"/>
        </w:rPr>
        <w:t>. zm.). Sporządzona prognoza skutków finansowych uchwalenia planu miejscowego nie ma charakteru normatywnego. Informacje zawarte w prognozie wskazują przewidywane konsekwencje finansowe</w:t>
      </w:r>
      <w:r w:rsidR="00AB3E8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uchwalenia planu miejscowego, dotyczące dochodów i wydatków gminy. </w:t>
      </w:r>
    </w:p>
    <w:p w:rsidR="00AB3E83" w:rsidRDefault="00AB3E83" w:rsidP="000521F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Dane zawarte w prognozie finansowej mają charakter jedynie szacunkowy i służą ustaleniu orientacyjnych i prawdopodobnych konsekwencji finansowych, związanych z obowiązywaniem miejscowego planu zagospodarowania przestrzennego. Dane oraz wielkości stawek zostały w prognozie przyjęte szacunkowo i mogą podlegać weryfikacji w czasie obowiązywania planu, ze względu na takie czynniki jak: poziom inflacji, zmiany koniunktury gospodarczej czy inne zewnętrzne uwarunkowania niezależne od jednostki samorządu terytorialnego. </w:t>
      </w:r>
    </w:p>
    <w:p w:rsidR="00AB3E83" w:rsidRDefault="00AB3E83" w:rsidP="00AB3E83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Do skutków finansowych uchwalenia planu miejscowego zalicza się:</w:t>
      </w:r>
    </w:p>
    <w:p w:rsidR="00AB3E83" w:rsidRPr="00AB3E83" w:rsidRDefault="00AB3E83" w:rsidP="00AB3E83">
      <w:pPr>
        <w:pStyle w:val="Akapitzlist"/>
        <w:keepLines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 w:rsidRPr="00AB3E83">
        <w:rPr>
          <w:rFonts w:ascii="Times New Roman" w:eastAsia="Times New Roman" w:hAnsi="Times New Roman" w:cs="Times New Roman"/>
          <w:szCs w:val="24"/>
          <w:lang w:val="pl-PL" w:eastAsia="pl-PL" w:bidi="pl-PL"/>
        </w:rPr>
        <w:t>Po stronie przychodów:</w:t>
      </w:r>
    </w:p>
    <w:p w:rsidR="00AB3E83" w:rsidRDefault="00AB3E83" w:rsidP="00AB3E83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Opłata z tytułu wzrostu wartości nieruchomości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 w wyniku uchwalenia planu miejscowego</w:t>
      </w:r>
    </w:p>
    <w:p w:rsidR="00AB3E83" w:rsidRDefault="00AB3E83" w:rsidP="00AB3E83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Wzrost wielkości podatków od nieruchomości w związku z realizacją inwestycji przewidzianych planem miejscowym</w:t>
      </w:r>
    </w:p>
    <w:p w:rsidR="00AB3E83" w:rsidRDefault="00AB3E83" w:rsidP="00AB3E83">
      <w:pPr>
        <w:pStyle w:val="Akapitzlist"/>
        <w:keepLines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Po stronie wydatków:</w:t>
      </w:r>
    </w:p>
    <w:p w:rsidR="00AB3E83" w:rsidRDefault="00786ECB" w:rsidP="00AB3E83">
      <w:pPr>
        <w:pStyle w:val="Akapitzlist"/>
        <w:keepLines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Koszty rozbudowy sieci infrastruktury technicznej (wodociąg, kanalizacja);</w:t>
      </w:r>
    </w:p>
    <w:p w:rsidR="00786ECB" w:rsidRDefault="00786ECB" w:rsidP="00786ECB">
      <w:pPr>
        <w:pStyle w:val="Akapitzlist"/>
        <w:keepLines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Koszty rozbudowy sieci dróg publicznych oraz wykup gruntu przewidzianego pod drogi publiczne</w:t>
      </w:r>
    </w:p>
    <w:p w:rsid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Do skutków finansowych uchwalenia planu nie zalicza się wydatków ponoszonych przez podmioty prywatne. Ponadto w przypadku nieruchomości położonych w obszarze objętym uchwaleniem przedmiotowego planu zagospodarowania, nie zachodzi sytuacja obniżenia wartości nieruchomości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wyniku uchwalenia miejscowego planu, dlatego też do skutków finansowych uchwalenia planu nie zaliczono po stronie wydatków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publicznych, 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odszkodowań z tytułu obniżenia wartości nieruchomości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w wyniku uchwalenia planu. </w:t>
      </w:r>
    </w:p>
    <w:p w:rsid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p w:rsid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>W obszarze planu nie występują inwestycje celu publicznego o znaczeniu ponadlokalnym.</w:t>
      </w:r>
    </w:p>
    <w:p w:rsidR="00786ECB" w:rsidRPr="00786ECB" w:rsidRDefault="00786ECB" w:rsidP="00786EC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Rozwiązania planu nie naruszają ustaleń obowiązującego 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>s</w:t>
      </w:r>
      <w:r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tudium </w:t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 xml:space="preserve">uwarunkowań i kierunków zagospodarowania przestrzennego Gminy Pniewy (Uchwała Rady Gminy Pniewy Nr XXXIX.192.18 </w:t>
      </w:r>
      <w:r w:rsidR="00320923">
        <w:rPr>
          <w:rFonts w:ascii="Times New Roman" w:eastAsia="Times New Roman" w:hAnsi="Times New Roman" w:cs="Times New Roman"/>
          <w:szCs w:val="24"/>
          <w:lang w:val="pl-PL" w:eastAsia="pl-PL" w:bidi="pl-PL"/>
        </w:rPr>
        <w:br/>
      </w:r>
      <w:r w:rsidR="00671D31">
        <w:rPr>
          <w:rFonts w:ascii="Times New Roman" w:eastAsia="Times New Roman" w:hAnsi="Times New Roman" w:cs="Times New Roman"/>
          <w:szCs w:val="24"/>
          <w:lang w:val="pl-PL" w:eastAsia="pl-PL" w:bidi="pl-PL"/>
        </w:rPr>
        <w:t>z dnia 11 września 2018 r.).</w:t>
      </w:r>
    </w:p>
    <w:p w:rsidR="008A20A5" w:rsidRPr="008A20A5" w:rsidRDefault="008A20A5" w:rsidP="008A20A5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val="pl-PL" w:eastAsia="pl-PL" w:bidi="pl-PL"/>
        </w:rPr>
      </w:pPr>
    </w:p>
    <w:sectPr w:rsidR="008A20A5" w:rsidRPr="008A2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EE2"/>
    <w:multiLevelType w:val="hybridMultilevel"/>
    <w:tmpl w:val="F6FA9CEA"/>
    <w:lvl w:ilvl="0" w:tplc="34ECD3B2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" w15:restartNumberingAfterBreak="0">
    <w:nsid w:val="0FBA0D13"/>
    <w:multiLevelType w:val="hybridMultilevel"/>
    <w:tmpl w:val="D91ED348"/>
    <w:lvl w:ilvl="0" w:tplc="1248B282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1C976B9"/>
    <w:multiLevelType w:val="hybridMultilevel"/>
    <w:tmpl w:val="630C3476"/>
    <w:lvl w:ilvl="0" w:tplc="4F24B252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9E546B"/>
    <w:multiLevelType w:val="hybridMultilevel"/>
    <w:tmpl w:val="46C8BBE0"/>
    <w:lvl w:ilvl="0" w:tplc="1F740BE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17C76573"/>
    <w:multiLevelType w:val="hybridMultilevel"/>
    <w:tmpl w:val="2FA077F4"/>
    <w:lvl w:ilvl="0" w:tplc="84EE377E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266D5541"/>
    <w:multiLevelType w:val="hybridMultilevel"/>
    <w:tmpl w:val="CF903CF0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3B6715F6"/>
    <w:multiLevelType w:val="hybridMultilevel"/>
    <w:tmpl w:val="422C052E"/>
    <w:lvl w:ilvl="0" w:tplc="879C159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547F4CD2"/>
    <w:multiLevelType w:val="hybridMultilevel"/>
    <w:tmpl w:val="505C57BC"/>
    <w:lvl w:ilvl="0" w:tplc="147C3A12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5E983221"/>
    <w:multiLevelType w:val="hybridMultilevel"/>
    <w:tmpl w:val="C16A936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62FA6207"/>
    <w:multiLevelType w:val="hybridMultilevel"/>
    <w:tmpl w:val="422C052E"/>
    <w:lvl w:ilvl="0" w:tplc="879C159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95"/>
    <w:rsid w:val="000521F4"/>
    <w:rsid w:val="000634CC"/>
    <w:rsid w:val="0009160A"/>
    <w:rsid w:val="000C5EA8"/>
    <w:rsid w:val="001C45ED"/>
    <w:rsid w:val="0025736C"/>
    <w:rsid w:val="002F33ED"/>
    <w:rsid w:val="00320923"/>
    <w:rsid w:val="004C1F1B"/>
    <w:rsid w:val="004E66DB"/>
    <w:rsid w:val="0051591B"/>
    <w:rsid w:val="005159A2"/>
    <w:rsid w:val="00671D31"/>
    <w:rsid w:val="00675706"/>
    <w:rsid w:val="006808B4"/>
    <w:rsid w:val="00693B10"/>
    <w:rsid w:val="00786ECB"/>
    <w:rsid w:val="0082171B"/>
    <w:rsid w:val="008A20A5"/>
    <w:rsid w:val="008C336B"/>
    <w:rsid w:val="00931A95"/>
    <w:rsid w:val="00AB3E83"/>
    <w:rsid w:val="00AC77FE"/>
    <w:rsid w:val="00AE6A7C"/>
    <w:rsid w:val="00AE750D"/>
    <w:rsid w:val="00BD2B3C"/>
    <w:rsid w:val="00CC30C1"/>
    <w:rsid w:val="00D452E5"/>
    <w:rsid w:val="00D91B33"/>
    <w:rsid w:val="00DD51D6"/>
    <w:rsid w:val="00F25428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532C"/>
  <w15:chartTrackingRefBased/>
  <w15:docId w15:val="{DA2680E0-ED56-4FA9-8EDB-D2F82D2B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2449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Maciejak</dc:creator>
  <cp:keywords/>
  <dc:description/>
  <cp:lastModifiedBy>Marta</cp:lastModifiedBy>
  <cp:revision>3</cp:revision>
  <dcterms:created xsi:type="dcterms:W3CDTF">2023-10-22T18:05:00Z</dcterms:created>
  <dcterms:modified xsi:type="dcterms:W3CDTF">2023-10-22T18:33:00Z</dcterms:modified>
</cp:coreProperties>
</file>