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120"/>
        <w:jc w:val="right"/>
        <w:rPr>
          <w:rFonts w:ascii="Sylfaen" w:hAnsi="Sylfaen" w:cs="Arial"/>
          <w:sz w:val="22"/>
        </w:rPr>
      </w:pPr>
      <w:r>
        <w:rPr>
          <w:rFonts w:cs="Arial" w:ascii="Sylfaen" w:hAnsi="Sylfaen"/>
          <w:i/>
          <w:sz w:val="22"/>
        </w:rPr>
        <w:t>Załączn</w:t>
      </w:r>
      <w:r>
        <w:rPr>
          <w:rFonts w:cs="Arial" w:ascii="Sylfaen" w:hAnsi="Sylfaen"/>
          <w:i/>
          <w:sz w:val="22"/>
          <w:shd w:fill="auto" w:val="clear"/>
        </w:rPr>
        <w:t>ik nr 2 do obwieszczenia</w:t>
      </w:r>
    </w:p>
    <w:p>
      <w:pPr>
        <w:pStyle w:val="Normal"/>
        <w:spacing w:before="0" w:after="120"/>
        <w:jc w:val="center"/>
        <w:rPr>
          <w:rFonts w:ascii="Sylfaen" w:hAnsi="Sylfaen" w:cs="Arial"/>
          <w:b/>
          <w:b/>
          <w:bCs/>
          <w:sz w:val="22"/>
        </w:rPr>
      </w:pPr>
      <w:r>
        <w:rPr>
          <w:rFonts w:cs="Arial" w:ascii="Sylfaen" w:hAnsi="Sylfaen"/>
          <w:b/>
          <w:bCs/>
          <w:sz w:val="22"/>
        </w:rPr>
      </w:r>
    </w:p>
    <w:p>
      <w:pPr>
        <w:pStyle w:val="Normal"/>
        <w:spacing w:before="0" w:after="120"/>
        <w:jc w:val="center"/>
        <w:rPr>
          <w:rFonts w:ascii="Times New Roman" w:hAnsi="Times New Roman" w:cs="Times New Roman"/>
          <w:b/>
          <w:b/>
          <w:bCs/>
          <w:sz w:val="22"/>
        </w:rPr>
      </w:pPr>
      <w:r>
        <w:rPr>
          <w:rFonts w:cs="Times New Roman" w:ascii="Times New Roman" w:hAnsi="Times New Roman"/>
          <w:b/>
          <w:bCs/>
          <w:sz w:val="22"/>
        </w:rPr>
        <w:t>Ankieta konsultacyjna</w:t>
      </w:r>
    </w:p>
    <w:p>
      <w:pPr>
        <w:pStyle w:val="Normal"/>
        <w:spacing w:before="0" w:after="0"/>
        <w:jc w:val="center"/>
        <w:rPr>
          <w:rFonts w:ascii="Times New Roman" w:hAnsi="Times New Roman" w:cs="Times New Roman"/>
          <w:b/>
          <w:b/>
          <w:bCs/>
          <w:sz w:val="22"/>
        </w:rPr>
      </w:pPr>
      <w:r>
        <w:rPr>
          <w:rFonts w:cs="Times New Roman" w:ascii="Times New Roman" w:hAnsi="Times New Roman"/>
          <w:b/>
          <w:bCs/>
          <w:sz w:val="22"/>
        </w:rPr>
        <w:t>dotycząca projektu uchwały Rady</w:t>
      </w:r>
      <w:r>
        <w:rPr>
          <w:rFonts w:cs="Times New Roman" w:ascii="Times New Roman" w:hAnsi="Times New Roman"/>
          <w:b/>
          <w:bCs/>
          <w:sz w:val="22"/>
          <w:shd w:fill="auto" w:val="clear"/>
        </w:rPr>
        <w:t xml:space="preserve"> Gminy Żółkiewka w sprawie wyznaczenia</w:t>
      </w:r>
    </w:p>
    <w:p>
      <w:pPr>
        <w:pStyle w:val="Normal"/>
        <w:spacing w:before="0" w:after="120"/>
        <w:jc w:val="center"/>
        <w:rPr>
          <w:highlight w:val="none"/>
          <w:shd w:fill="auto" w:val="clear"/>
        </w:rPr>
      </w:pPr>
      <w:r>
        <w:rPr>
          <w:rFonts w:cs="Times New Roman" w:ascii="Times New Roman" w:hAnsi="Times New Roman"/>
          <w:b/>
          <w:bCs/>
          <w:sz w:val="22"/>
          <w:shd w:fill="auto" w:val="clear"/>
        </w:rPr>
        <w:t>obszaru zdegradowanego i obszaru rewitalizacji Gminy  Żółkiewka</w:t>
      </w:r>
    </w:p>
    <w:p>
      <w:pPr>
        <w:pStyle w:val="Normal"/>
        <w:spacing w:before="0" w:after="120"/>
        <w:jc w:val="center"/>
        <w:rPr>
          <w:rFonts w:ascii="Times New Roman" w:hAnsi="Times New Roman" w:cs="Times New Roman"/>
          <w:b/>
          <w:b/>
          <w:bCs/>
          <w:sz w:val="12"/>
          <w:szCs w:val="12"/>
          <w:highlight w:val="none"/>
          <w:shd w:fill="auto" w:val="clear"/>
        </w:rPr>
      </w:pPr>
      <w:r>
        <w:rPr>
          <w:rFonts w:cs="Times New Roman" w:ascii="Times New Roman" w:hAnsi="Times New Roman"/>
          <w:b/>
          <w:bCs/>
          <w:sz w:val="12"/>
          <w:szCs w:val="12"/>
          <w:shd w:fill="auto" w:val="clear"/>
        </w:rPr>
      </w:r>
    </w:p>
    <w:p>
      <w:pPr>
        <w:pStyle w:val="Normal"/>
        <w:spacing w:before="0" w:after="120"/>
        <w:rPr>
          <w:rFonts w:ascii="Times New Roman" w:hAnsi="Times New Roman" w:cs="Times New Roman"/>
          <w:sz w:val="22"/>
        </w:rPr>
      </w:pPr>
      <w:r>
        <w:rPr>
          <w:rFonts w:cs="Times New Roman" w:ascii="Times New Roman" w:hAnsi="Times New Roman"/>
          <w:sz w:val="22"/>
        </w:rPr>
        <w:t xml:space="preserve">Celem </w:t>
      </w:r>
      <w:r>
        <w:rPr>
          <w:rFonts w:cs="Times New Roman" w:ascii="Times New Roman" w:hAnsi="Times New Roman"/>
          <w:iCs/>
          <w:sz w:val="22"/>
        </w:rPr>
        <w:t>ankiety konsultacyjnej</w:t>
      </w:r>
      <w:r>
        <w:rPr>
          <w:rFonts w:cs="Times New Roman" w:ascii="Times New Roman" w:hAnsi="Times New Roman"/>
          <w:sz w:val="22"/>
        </w:rPr>
        <w:t xml:space="preserve"> jest pozyskanie opinii na temat wyznaczonego w projekcie uchwały obszaru zdegradowanego i obszaru rewitalizacji Gminy Żółkiewka. </w:t>
      </w:r>
    </w:p>
    <w:p>
      <w:pPr>
        <w:pStyle w:val="SWTEKST"/>
        <w:spacing w:lineRule="auto" w:line="276" w:before="0" w:after="120"/>
        <w:ind w:hanging="0"/>
        <w:rPr>
          <w:rFonts w:ascii="Times New Roman" w:hAnsi="Times New Roman"/>
          <w:sz w:val="22"/>
          <w:szCs w:val="22"/>
          <w:lang w:val="pl-PL" w:eastAsia="en-US"/>
        </w:rPr>
      </w:pPr>
      <w:r>
        <w:rPr>
          <w:rFonts w:ascii="Times New Roman" w:hAnsi="Times New Roman"/>
          <w:sz w:val="22"/>
          <w:szCs w:val="22"/>
        </w:rPr>
        <w:t xml:space="preserve">Na podstawie </w:t>
      </w:r>
      <w:r>
        <w:rPr>
          <w:rFonts w:ascii="Times New Roman" w:hAnsi="Times New Roman"/>
          <w:iCs/>
          <w:sz w:val="22"/>
          <w:szCs w:val="22"/>
        </w:rPr>
        <w:t>art. 9 pkt 1 ustawy z dnia 9 października 2015 r. o rewitalizacji</w:t>
      </w:r>
      <w:r>
        <w:rPr>
          <w:rFonts w:ascii="Times New Roman" w:hAnsi="Times New Roman"/>
          <w:i/>
          <w:iCs/>
          <w:sz w:val="22"/>
          <w:szCs w:val="22"/>
        </w:rPr>
        <w:t xml:space="preserve"> </w:t>
      </w:r>
      <w:r>
        <w:rPr>
          <w:rFonts w:ascii="Times New Roman" w:hAnsi="Times New Roman"/>
          <w:sz w:val="22"/>
          <w:szCs w:val="22"/>
          <w:shd w:fill="FFFFFF" w:val="clear"/>
        </w:rPr>
        <w:t>obszar gminy znajdujący się w stanie kryzysowym z powodu</w:t>
      </w:r>
      <w:r>
        <w:rPr>
          <w:rFonts w:ascii="Times New Roman" w:hAnsi="Times New Roman"/>
          <w:sz w:val="22"/>
          <w:szCs w:val="22"/>
          <w:shd w:fill="FFFFFF" w:val="clear"/>
          <w:lang w:val="pl-PL"/>
        </w:rPr>
        <w:t xml:space="preserve"> </w:t>
      </w:r>
      <w:r>
        <w:rPr>
          <w:rFonts w:ascii="Times New Roman" w:hAnsi="Times New Roman"/>
          <w:sz w:val="22"/>
          <w:szCs w:val="22"/>
          <w:shd w:fill="FFFFFF" w:val="clear"/>
        </w:rPr>
        <w:t>koncentracji negatywnych zjawisk społecznych, w</w:t>
      </w:r>
      <w:r>
        <w:rPr>
          <w:rFonts w:ascii="Times New Roman" w:hAnsi="Times New Roman"/>
          <w:sz w:val="22"/>
          <w:szCs w:val="22"/>
          <w:shd w:fill="FFFFFF" w:val="clear"/>
          <w:lang w:val="pl-PL"/>
        </w:rPr>
        <w:t> </w:t>
      </w:r>
      <w:r>
        <w:rPr>
          <w:rFonts w:ascii="Times New Roman" w:hAnsi="Times New Roman"/>
          <w:sz w:val="22"/>
          <w:szCs w:val="22"/>
          <w:shd w:fill="FFFFFF" w:val="clear"/>
        </w:rPr>
        <w:t>szczególności bezrobocia,</w:t>
      </w:r>
      <w:r>
        <w:rPr>
          <w:rFonts w:ascii="Times New Roman" w:hAnsi="Times New Roman"/>
          <w:sz w:val="22"/>
          <w:szCs w:val="22"/>
          <w:shd w:fill="FFFFFF" w:val="clear"/>
          <w:lang w:val="pl-PL"/>
        </w:rPr>
        <w:t xml:space="preserve"> </w:t>
      </w:r>
      <w:r>
        <w:rPr>
          <w:rFonts w:ascii="Times New Roman" w:hAnsi="Times New Roman"/>
          <w:sz w:val="22"/>
          <w:szCs w:val="22"/>
          <w:shd w:fill="FFFFFF" w:val="clear"/>
        </w:rPr>
        <w:t>ubóstwa, przestępczości, wysokiej liczby mieszkańców będących osobami ze</w:t>
      </w:r>
      <w:r>
        <w:rPr>
          <w:rFonts w:ascii="Times New Roman" w:hAnsi="Times New Roman"/>
          <w:sz w:val="22"/>
          <w:szCs w:val="22"/>
          <w:shd w:fill="FFFFFF" w:val="clear"/>
          <w:lang w:val="pl-PL"/>
        </w:rPr>
        <w:t xml:space="preserve"> </w:t>
      </w:r>
      <w:r>
        <w:rPr>
          <w:rFonts w:ascii="Times New Roman" w:hAnsi="Times New Roman"/>
          <w:sz w:val="22"/>
          <w:szCs w:val="22"/>
          <w:shd w:fill="FFFFFF" w:val="clear"/>
        </w:rPr>
        <w:t>szczególnymi potrzebami, o których mowa w ustawie z</w:t>
      </w:r>
      <w:r>
        <w:rPr>
          <w:rFonts w:ascii="Times New Roman" w:hAnsi="Times New Roman"/>
          <w:sz w:val="22"/>
          <w:szCs w:val="22"/>
          <w:shd w:fill="FFFFFF" w:val="clear"/>
          <w:lang w:val="pl-PL"/>
        </w:rPr>
        <w:t> </w:t>
      </w:r>
      <w:r>
        <w:rPr>
          <w:rFonts w:ascii="Times New Roman" w:hAnsi="Times New Roman"/>
          <w:sz w:val="22"/>
          <w:szCs w:val="22"/>
          <w:shd w:fill="FFFFFF" w:val="clear"/>
        </w:rPr>
        <w:t>dnia 19 lipca 2019 r.</w:t>
      </w:r>
      <w:r>
        <w:rPr>
          <w:rFonts w:ascii="Times New Roman" w:hAnsi="Times New Roman"/>
          <w:sz w:val="22"/>
          <w:szCs w:val="22"/>
          <w:shd w:fill="FFFFFF" w:val="clear"/>
          <w:lang w:val="pl-PL"/>
        </w:rPr>
        <w:t xml:space="preserve"> </w:t>
      </w:r>
      <w:r>
        <w:rPr>
          <w:rFonts w:ascii="Times New Roman" w:hAnsi="Times New Roman"/>
          <w:sz w:val="22"/>
          <w:szCs w:val="22"/>
          <w:shd w:fill="FFFFFF" w:val="clear"/>
        </w:rPr>
        <w:t>o</w:t>
      </w:r>
      <w:r>
        <w:rPr>
          <w:rFonts w:ascii="Times New Roman" w:hAnsi="Times New Roman"/>
          <w:sz w:val="22"/>
          <w:szCs w:val="22"/>
          <w:shd w:fill="FFFFFF" w:val="clear"/>
          <w:lang w:val="pl-PL"/>
        </w:rPr>
        <w:t> </w:t>
      </w:r>
      <w:r>
        <w:rPr>
          <w:rFonts w:ascii="Times New Roman" w:hAnsi="Times New Roman"/>
          <w:sz w:val="22"/>
          <w:szCs w:val="22"/>
          <w:shd w:fill="FFFFFF" w:val="clear"/>
        </w:rPr>
        <w:t>zapewnianiu dostępności osobom ze szczególnymi potrzebami (Dz. U. z 2020 r. poz.</w:t>
      </w:r>
      <w:r>
        <w:rPr>
          <w:rFonts w:ascii="Times New Roman" w:hAnsi="Times New Roman"/>
          <w:sz w:val="22"/>
          <w:szCs w:val="22"/>
          <w:shd w:fill="FFFFFF" w:val="clear"/>
          <w:lang w:val="pl-PL"/>
        </w:rPr>
        <w:t xml:space="preserve"> </w:t>
      </w:r>
      <w:r>
        <w:rPr>
          <w:rFonts w:ascii="Times New Roman" w:hAnsi="Times New Roman"/>
          <w:sz w:val="22"/>
          <w:szCs w:val="22"/>
          <w:shd w:fill="FFFFFF" w:val="clear"/>
        </w:rPr>
        <w:t>1062</w:t>
      </w:r>
      <w:r>
        <w:rPr>
          <w:rFonts w:ascii="Times New Roman" w:hAnsi="Times New Roman"/>
          <w:sz w:val="22"/>
          <w:szCs w:val="22"/>
          <w:shd w:fill="FFFFFF" w:val="clear"/>
          <w:lang w:val="pl-PL"/>
        </w:rPr>
        <w:t xml:space="preserve"> ze zm. </w:t>
      </w:r>
      <w:r>
        <w:rPr>
          <w:rFonts w:ascii="Times New Roman" w:hAnsi="Times New Roman"/>
          <w:sz w:val="22"/>
          <w:szCs w:val="22"/>
          <w:shd w:fill="FFFFFF" w:val="clear"/>
        </w:rPr>
        <w:t>), niskiego poziomu edukacji lub kapitału społecznego, a także niewystarczającego poziomu uczestnictwa w życiu publicznym i kulturalnym, można wyznaczyć</w:t>
      </w:r>
      <w:r>
        <w:rPr>
          <w:rFonts w:ascii="Times New Roman" w:hAnsi="Times New Roman"/>
          <w:sz w:val="22"/>
          <w:szCs w:val="22"/>
          <w:shd w:fill="FFFFFF" w:val="clear"/>
          <w:lang w:val="pl-PL"/>
        </w:rPr>
        <w:t xml:space="preserve"> </w:t>
      </w:r>
      <w:r>
        <w:rPr>
          <w:rFonts w:ascii="Times New Roman" w:hAnsi="Times New Roman"/>
          <w:sz w:val="22"/>
          <w:szCs w:val="22"/>
          <w:lang w:val="pl-PL" w:eastAsia="en-US"/>
        </w:rPr>
        <w:t xml:space="preserve">jako </w:t>
      </w:r>
      <w:r>
        <w:rPr>
          <w:rFonts w:ascii="Times New Roman" w:hAnsi="Times New Roman"/>
          <w:b/>
          <w:sz w:val="22"/>
          <w:szCs w:val="22"/>
          <w:lang w:val="pl-PL" w:eastAsia="en-US"/>
        </w:rPr>
        <w:t>obszar zdegradowany</w:t>
      </w:r>
      <w:r>
        <w:rPr>
          <w:rFonts w:ascii="Times New Roman" w:hAnsi="Times New Roman"/>
          <w:sz w:val="22"/>
          <w:szCs w:val="22"/>
          <w:lang w:val="pl-PL" w:eastAsia="en-US"/>
        </w:rPr>
        <w:t xml:space="preserve"> w przypadku występowania na nim ponadto co najmniej jednego z następujących negatywnych zjawisk:</w:t>
      </w:r>
    </w:p>
    <w:p>
      <w:pPr>
        <w:pStyle w:val="SWTEKST"/>
        <w:numPr>
          <w:ilvl w:val="0"/>
          <w:numId w:val="2"/>
        </w:numPr>
        <w:spacing w:lineRule="auto" w:line="276" w:before="0" w:after="120"/>
        <w:rPr>
          <w:rFonts w:ascii="Times New Roman" w:hAnsi="Times New Roman"/>
          <w:sz w:val="22"/>
          <w:szCs w:val="22"/>
          <w:lang w:val="pl-PL" w:eastAsia="en-US"/>
        </w:rPr>
      </w:pPr>
      <w:r>
        <w:rPr>
          <w:rFonts w:ascii="Times New Roman" w:hAnsi="Times New Roman"/>
          <w:sz w:val="22"/>
          <w:szCs w:val="22"/>
          <w:lang w:val="pl-PL" w:eastAsia="en-US"/>
        </w:rPr>
        <w:t>gospodarczych – w szczególności niskiego stopnia przedsiębiorczości, słabej kondycji lokalnych przedsiębiorstw lub</w:t>
      </w:r>
    </w:p>
    <w:p>
      <w:pPr>
        <w:pStyle w:val="SWTEKST"/>
        <w:numPr>
          <w:ilvl w:val="0"/>
          <w:numId w:val="2"/>
        </w:numPr>
        <w:spacing w:lineRule="auto" w:line="276" w:before="0" w:after="120"/>
        <w:rPr>
          <w:rFonts w:ascii="Times New Roman" w:hAnsi="Times New Roman"/>
          <w:sz w:val="22"/>
          <w:szCs w:val="22"/>
          <w:lang w:val="pl-PL" w:eastAsia="en-US"/>
        </w:rPr>
      </w:pPr>
      <w:r>
        <w:rPr>
          <w:rFonts w:ascii="Times New Roman" w:hAnsi="Times New Roman"/>
          <w:sz w:val="22"/>
          <w:szCs w:val="22"/>
          <w:lang w:val="pl-PL" w:eastAsia="en-US"/>
        </w:rPr>
        <w:t>środowiskowych – w szczególności przekroczenia standardów jakości środowiska, obecności odpadów stwarzających zagrożenie dla życia, zdrowia ludzi lub stanu środowiska, lub</w:t>
      </w:r>
    </w:p>
    <w:p>
      <w:pPr>
        <w:pStyle w:val="SWTEKST"/>
        <w:numPr>
          <w:ilvl w:val="0"/>
          <w:numId w:val="2"/>
        </w:numPr>
        <w:spacing w:lineRule="auto" w:line="276" w:before="0" w:after="120"/>
        <w:rPr>
          <w:rFonts w:ascii="Times New Roman" w:hAnsi="Times New Roman"/>
          <w:sz w:val="22"/>
          <w:szCs w:val="22"/>
          <w:lang w:val="pl-PL" w:eastAsia="en-US"/>
        </w:rPr>
      </w:pPr>
      <w:r>
        <w:rPr>
          <w:rFonts w:ascii="Times New Roman" w:hAnsi="Times New Roman"/>
          <w:sz w:val="22"/>
          <w:szCs w:val="22"/>
          <w:lang w:val="pl-PL" w:eastAsia="en-US"/>
        </w:rPr>
        <w:t>przestrzenno-funkcjonalnych – w szczególności niewystarczającego wyposażenia w infrastrukturę techniczną i społeczną lub jej złego stanu technicznego, braku dostępu do podstawowych usług lub ich niskiej jakości, niedostosowania rozwiązań urbanistycznych do zmieniających się funkcji obszaru, niedostosowania infrastruktury do potrzeb osób ze szczególnymi potrzebami, o których mowa w ustawie z dnia 19 lipca 2019 r. o zapewnianiu dostępności osobom ze szczególnymi potrzebami, niskiego poziomu obsługi komunikacyjnej, niedoboru lub niskiej jakości terenów publicznych, lub</w:t>
      </w:r>
    </w:p>
    <w:p>
      <w:pPr>
        <w:pStyle w:val="SWTEKST"/>
        <w:numPr>
          <w:ilvl w:val="0"/>
          <w:numId w:val="2"/>
        </w:numPr>
        <w:spacing w:lineRule="auto" w:line="276" w:before="0" w:after="120"/>
        <w:rPr>
          <w:rFonts w:ascii="Times New Roman" w:hAnsi="Times New Roman"/>
          <w:sz w:val="22"/>
          <w:szCs w:val="22"/>
          <w:lang w:val="pl-PL" w:eastAsia="en-US"/>
        </w:rPr>
      </w:pPr>
      <w:r>
        <w:rPr>
          <w:rFonts w:ascii="Times New Roman" w:hAnsi="Times New Roman"/>
          <w:sz w:val="22"/>
          <w:szCs w:val="22"/>
          <w:lang w:val="pl-PL" w:eastAsia="en-US"/>
        </w:rPr>
        <w:t>technicznych – w szczególności degradacji stanu technicznego obiektów budowlanych, w tym o przeznaczeniu mieszkaniowym, oraz niefunkcjonowaniu rozwiązań technicznych umożliwiających efektywne korzystanie z obiektów budowlanych, w szczególności w zakresie energooszczędności, ochrony środowiska i zapewniania dostępności osobom ze szczególnymi potrzebami, o których mowa w ustawie z dnia 19 lipca 2019 r. o zapewnianiu dostępności osobom ze szczególnymi potrzebami.</w:t>
      </w:r>
    </w:p>
    <w:p>
      <w:pPr>
        <w:pStyle w:val="SWTEKST"/>
        <w:spacing w:lineRule="auto" w:line="276" w:before="0" w:after="120"/>
        <w:ind w:hanging="0"/>
        <w:rPr>
          <w:rFonts w:ascii="Times New Roman" w:hAnsi="Times New Roman"/>
          <w:b/>
          <w:b/>
          <w:sz w:val="22"/>
          <w:szCs w:val="22"/>
          <w:shd w:fill="FFFFFF" w:val="clear"/>
          <w:lang w:val="pl-PL"/>
        </w:rPr>
      </w:pPr>
      <w:r>
        <w:rPr>
          <w:rFonts w:ascii="Times New Roman" w:hAnsi="Times New Roman"/>
          <w:sz w:val="22"/>
          <w:szCs w:val="22"/>
          <w:shd w:fill="FFFFFF" w:val="clear"/>
        </w:rPr>
        <w:t>W oparciu o art. 10. ust. 1. Ustawy o rewitalizacji obszar obejmujący całość lub część obszaru zdegradowanego, cechujący się szczególną koncentracją negatywnych zjawisk, o</w:t>
      </w:r>
      <w:r>
        <w:rPr>
          <w:rFonts w:ascii="Times New Roman" w:hAnsi="Times New Roman"/>
          <w:sz w:val="22"/>
          <w:szCs w:val="22"/>
          <w:shd w:fill="FFFFFF" w:val="clear"/>
          <w:lang w:val="pl-PL"/>
        </w:rPr>
        <w:t> </w:t>
      </w:r>
      <w:r>
        <w:rPr>
          <w:rFonts w:ascii="Times New Roman" w:hAnsi="Times New Roman"/>
          <w:sz w:val="22"/>
          <w:szCs w:val="22"/>
          <w:shd w:fill="FFFFFF" w:val="clear"/>
        </w:rPr>
        <w:t>których mowa w</w:t>
      </w:r>
      <w:r>
        <w:rPr>
          <w:rFonts w:ascii="Times New Roman" w:hAnsi="Times New Roman"/>
          <w:sz w:val="22"/>
          <w:szCs w:val="22"/>
          <w:shd w:fill="FFFFFF" w:val="clear"/>
          <w:lang w:val="pl-PL"/>
        </w:rPr>
        <w:t> </w:t>
      </w:r>
      <w:r>
        <w:rPr>
          <w:rFonts w:ascii="Times New Roman" w:hAnsi="Times New Roman"/>
          <w:sz w:val="22"/>
          <w:szCs w:val="22"/>
          <w:shd w:fill="FFFFFF" w:val="clear"/>
        </w:rPr>
        <w:t xml:space="preserve">art. 9 ust. 1, na którym z uwagi na istotne znaczenie dla rozwoju lokalnego gmina zamierza prowadzić rewitalizację, wyznacza się jako </w:t>
      </w:r>
      <w:r>
        <w:rPr>
          <w:rFonts w:ascii="Times New Roman" w:hAnsi="Times New Roman"/>
          <w:b/>
          <w:sz w:val="22"/>
          <w:szCs w:val="22"/>
          <w:shd w:fill="FFFFFF" w:val="clear"/>
        </w:rPr>
        <w:t>obszar rewitalizacji.</w:t>
      </w:r>
    </w:p>
    <w:p>
      <w:pPr>
        <w:pStyle w:val="SWTEKST"/>
        <w:spacing w:lineRule="auto" w:line="276" w:before="0" w:after="120"/>
        <w:ind w:hanging="0"/>
        <w:rPr>
          <w:rFonts w:ascii="Times New Roman" w:hAnsi="Times New Roman"/>
          <w:sz w:val="22"/>
          <w:szCs w:val="22"/>
          <w:shd w:fill="FFFFFF" w:val="clear"/>
        </w:rPr>
      </w:pPr>
      <w:r>
        <w:rPr>
          <w:rFonts w:ascii="Times New Roman" w:hAnsi="Times New Roman"/>
          <w:sz w:val="22"/>
          <w:szCs w:val="22"/>
          <w:shd w:fill="FFFFFF" w:val="clear"/>
        </w:rPr>
        <w:t xml:space="preserve">Zgodnie z art. 10. ust. 2 </w:t>
      </w:r>
      <w:r>
        <w:rPr>
          <w:rFonts w:ascii="Times New Roman" w:hAnsi="Times New Roman"/>
          <w:b/>
          <w:sz w:val="22"/>
          <w:szCs w:val="22"/>
          <w:shd w:fill="FFFFFF" w:val="clear"/>
        </w:rPr>
        <w:t>obszar rewitalizacji</w:t>
      </w:r>
      <w:r>
        <w:rPr>
          <w:rFonts w:ascii="Times New Roman" w:hAnsi="Times New Roman"/>
          <w:sz w:val="22"/>
          <w:szCs w:val="22"/>
          <w:shd w:fill="FFFFFF" w:val="clear"/>
        </w:rPr>
        <w:t xml:space="preserve"> nie może być większy niż 20% powierzchni gminy oraz zamieszkały przez więcej niż 30% liczby mieszkańców gminy. Obszar rewitalizacji może być podzielony na podobszary, w tym podobszary nieposiadające ze sobą wspólnych granic.</w:t>
      </w:r>
    </w:p>
    <w:p>
      <w:pPr>
        <w:pStyle w:val="SWTEKST"/>
        <w:spacing w:lineRule="auto" w:line="276" w:before="0" w:after="120"/>
        <w:ind w:hanging="0"/>
        <w:rPr>
          <w:rFonts w:ascii="Times New Roman" w:hAnsi="Times New Roman"/>
          <w:sz w:val="22"/>
          <w:szCs w:val="22"/>
          <w:shd w:fill="FFFFFF" w:val="clear"/>
        </w:rPr>
      </w:pPr>
      <w:r>
        <w:rPr>
          <w:rFonts w:ascii="Times New Roman" w:hAnsi="Times New Roman"/>
          <w:sz w:val="22"/>
          <w:szCs w:val="22"/>
          <w:shd w:fill="FFFFFF" w:val="clear"/>
        </w:rPr>
      </w:r>
    </w:p>
    <w:p>
      <w:pPr>
        <w:pStyle w:val="SWTEKST"/>
        <w:spacing w:lineRule="auto" w:line="276" w:before="0" w:after="120"/>
        <w:ind w:hanging="0"/>
        <w:rPr>
          <w:rFonts w:ascii="Times New Roman" w:hAnsi="Times New Roman"/>
          <w:sz w:val="12"/>
          <w:szCs w:val="12"/>
          <w:shd w:fill="FFFFFF" w:val="clear"/>
        </w:rPr>
      </w:pPr>
      <w:r>
        <w:rPr>
          <w:rFonts w:ascii="Times New Roman" w:hAnsi="Times New Roman"/>
          <w:sz w:val="12"/>
          <w:szCs w:val="12"/>
          <w:shd w:fill="FFFFFF" w:val="clear"/>
        </w:rPr>
      </w:r>
    </w:p>
    <w:p>
      <w:pPr>
        <w:pStyle w:val="SWTEKST"/>
        <w:numPr>
          <w:ilvl w:val="0"/>
          <w:numId w:val="3"/>
        </w:numPr>
        <w:spacing w:lineRule="auto" w:line="276" w:before="0" w:after="120"/>
        <w:rPr>
          <w:rFonts w:ascii="Times New Roman" w:hAnsi="Times New Roman"/>
          <w:sz w:val="22"/>
          <w:szCs w:val="22"/>
          <w:shd w:fill="FFFFFF" w:val="clear"/>
          <w:lang w:val="pl-PL"/>
        </w:rPr>
      </w:pPr>
      <w:r>
        <w:rPr>
          <w:rFonts w:ascii="Times New Roman" w:hAnsi="Times New Roman"/>
          <w:sz w:val="22"/>
          <w:szCs w:val="22"/>
          <w:shd w:fill="FFFFFF" w:val="clear"/>
        </w:rPr>
        <w:t>Proszę o zaznaczenie znakiem „X” w tabeli Pani/Pana opinii na temat projektowanego przebiegu granic obszaru zdegradowanego na terenie Gmin</w:t>
      </w:r>
      <w:r>
        <w:rPr>
          <w:rFonts w:ascii="Times New Roman" w:hAnsi="Times New Roman"/>
          <w:sz w:val="22"/>
          <w:szCs w:val="22"/>
          <w:shd w:fill="FFFFFF" w:val="clear"/>
          <w:lang w:val="pl-PL"/>
        </w:rPr>
        <w:t xml:space="preserve">y </w:t>
      </w:r>
      <w:r>
        <w:rPr>
          <w:rFonts w:cs="Times New Roman" w:ascii="Times New Roman" w:hAnsi="Times New Roman"/>
          <w:sz w:val="22"/>
          <w:szCs w:val="22"/>
          <w:shd w:fill="FFFFFF" w:val="clear"/>
          <w:lang w:val="pl-PL"/>
        </w:rPr>
        <w:t>Żółkiewka:</w:t>
      </w:r>
    </w:p>
    <w:tbl>
      <w:tblPr>
        <w:tblW w:w="8969" w:type="dxa"/>
        <w:jc w:val="center"/>
        <w:tblInd w:w="0" w:type="dxa"/>
        <w:tblLayout w:type="fixed"/>
        <w:tblCellMar>
          <w:top w:w="0" w:type="dxa"/>
          <w:left w:w="108" w:type="dxa"/>
          <w:bottom w:w="0" w:type="dxa"/>
          <w:right w:w="108" w:type="dxa"/>
        </w:tblCellMar>
        <w:tblLook w:firstRow="1" w:noVBand="0" w:lastRow="0" w:firstColumn="1" w:lastColumn="0" w:noHBand="0" w:val="00a0"/>
      </w:tblPr>
      <w:tblGrid>
        <w:gridCol w:w="6400"/>
        <w:gridCol w:w="2568"/>
      </w:tblGrid>
      <w:tr>
        <w:trPr>
          <w:trHeight w:val="317" w:hRule="atLeast"/>
        </w:trPr>
        <w:tc>
          <w:tcPr>
            <w:tcW w:w="6400" w:type="dxa"/>
            <w:tcBorders>
              <w:top w:val="single" w:sz="4" w:space="0" w:color="000000"/>
              <w:left w:val="single" w:sz="4" w:space="0" w:color="000000"/>
              <w:bottom w:val="single" w:sz="4" w:space="0" w:color="000000"/>
              <w:right w:val="single" w:sz="4" w:space="0" w:color="000000"/>
            </w:tcBorders>
          </w:tcPr>
          <w:p>
            <w:pPr>
              <w:pStyle w:val="SWTEKST"/>
              <w:widowControl w:val="false"/>
              <w:spacing w:lineRule="auto" w:line="276" w:before="0" w:after="0"/>
              <w:ind w:hanging="0"/>
              <w:jc w:val="center"/>
              <w:rPr>
                <w:rFonts w:ascii="Times New Roman" w:hAnsi="Times New Roman"/>
                <w:sz w:val="22"/>
                <w:szCs w:val="22"/>
                <w:shd w:fill="FFFFFF" w:val="clear"/>
              </w:rPr>
            </w:pPr>
            <w:r>
              <w:rPr>
                <w:rFonts w:ascii="Times New Roman" w:hAnsi="Times New Roman"/>
                <w:sz w:val="22"/>
                <w:szCs w:val="22"/>
                <w:shd w:fill="FFFFFF" w:val="clear"/>
              </w:rPr>
              <w:t>zdecydowanie pozytywna</w:t>
            </w:r>
          </w:p>
        </w:tc>
        <w:tc>
          <w:tcPr>
            <w:tcW w:w="2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2"/>
              </w:rPr>
            </w:pPr>
            <w:r>
              <w:rPr>
                <w:rFonts w:eastAsia="Times New Roman" w:cs="Times New Roman" w:ascii="Times New Roman" w:hAnsi="Times New Roman"/>
                <w:sz w:val="22"/>
              </w:rPr>
            </w:r>
          </w:p>
        </w:tc>
      </w:tr>
      <w:tr>
        <w:trPr>
          <w:trHeight w:val="317" w:hRule="atLeast"/>
        </w:trPr>
        <w:tc>
          <w:tcPr>
            <w:tcW w:w="6400" w:type="dxa"/>
            <w:tcBorders>
              <w:top w:val="single" w:sz="4" w:space="0" w:color="000000"/>
              <w:left w:val="single" w:sz="4" w:space="0" w:color="000000"/>
              <w:bottom w:val="single" w:sz="4" w:space="0" w:color="000000"/>
              <w:right w:val="single" w:sz="4" w:space="0" w:color="000000"/>
            </w:tcBorders>
          </w:tcPr>
          <w:p>
            <w:pPr>
              <w:pStyle w:val="SWTEKST"/>
              <w:widowControl w:val="false"/>
              <w:spacing w:lineRule="auto" w:line="276" w:before="0" w:after="0"/>
              <w:ind w:hanging="0"/>
              <w:jc w:val="center"/>
              <w:rPr>
                <w:rFonts w:ascii="Times New Roman" w:hAnsi="Times New Roman"/>
                <w:sz w:val="22"/>
                <w:szCs w:val="22"/>
                <w:shd w:fill="FFFFFF" w:val="clear"/>
              </w:rPr>
            </w:pPr>
            <w:r>
              <w:rPr>
                <w:rFonts w:ascii="Times New Roman" w:hAnsi="Times New Roman"/>
                <w:sz w:val="22"/>
                <w:szCs w:val="22"/>
                <w:shd w:fill="FFFFFF" w:val="clear"/>
              </w:rPr>
              <w:t>pozytywna</w:t>
            </w:r>
          </w:p>
        </w:tc>
        <w:tc>
          <w:tcPr>
            <w:tcW w:w="2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2"/>
              </w:rPr>
            </w:pPr>
            <w:r>
              <w:rPr>
                <w:rFonts w:eastAsia="Times New Roman" w:cs="Times New Roman" w:ascii="Times New Roman" w:hAnsi="Times New Roman"/>
                <w:sz w:val="22"/>
              </w:rPr>
            </w:r>
          </w:p>
        </w:tc>
      </w:tr>
      <w:tr>
        <w:trPr>
          <w:trHeight w:val="317" w:hRule="atLeast"/>
        </w:trPr>
        <w:tc>
          <w:tcPr>
            <w:tcW w:w="6400" w:type="dxa"/>
            <w:tcBorders>
              <w:top w:val="single" w:sz="4" w:space="0" w:color="000000"/>
              <w:left w:val="single" w:sz="4" w:space="0" w:color="000000"/>
              <w:bottom w:val="single" w:sz="4" w:space="0" w:color="000000"/>
              <w:right w:val="single" w:sz="4" w:space="0" w:color="000000"/>
            </w:tcBorders>
          </w:tcPr>
          <w:p>
            <w:pPr>
              <w:pStyle w:val="SWTEKST"/>
              <w:widowControl w:val="false"/>
              <w:spacing w:lineRule="auto" w:line="276" w:before="0" w:after="0"/>
              <w:ind w:hanging="0"/>
              <w:jc w:val="center"/>
              <w:rPr>
                <w:rFonts w:ascii="Times New Roman" w:hAnsi="Times New Roman"/>
                <w:sz w:val="22"/>
                <w:szCs w:val="22"/>
                <w:shd w:fill="FFFFFF" w:val="clear"/>
              </w:rPr>
            </w:pPr>
            <w:r>
              <w:rPr>
                <w:rFonts w:ascii="Times New Roman" w:hAnsi="Times New Roman"/>
                <w:sz w:val="22"/>
                <w:szCs w:val="22"/>
                <w:shd w:fill="FFFFFF" w:val="clear"/>
              </w:rPr>
              <w:t>negatywna</w:t>
            </w:r>
          </w:p>
        </w:tc>
        <w:tc>
          <w:tcPr>
            <w:tcW w:w="2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2"/>
              </w:rPr>
            </w:pPr>
            <w:r>
              <w:rPr>
                <w:rFonts w:eastAsia="Times New Roman" w:cs="Times New Roman" w:ascii="Times New Roman" w:hAnsi="Times New Roman"/>
                <w:sz w:val="22"/>
              </w:rPr>
            </w:r>
          </w:p>
        </w:tc>
      </w:tr>
      <w:tr>
        <w:trPr>
          <w:trHeight w:val="317" w:hRule="atLeast"/>
        </w:trPr>
        <w:tc>
          <w:tcPr>
            <w:tcW w:w="6400" w:type="dxa"/>
            <w:tcBorders>
              <w:top w:val="single" w:sz="4" w:space="0" w:color="000000"/>
              <w:left w:val="single" w:sz="4" w:space="0" w:color="000000"/>
              <w:bottom w:val="single" w:sz="4" w:space="0" w:color="000000"/>
              <w:right w:val="single" w:sz="4" w:space="0" w:color="000000"/>
            </w:tcBorders>
          </w:tcPr>
          <w:p>
            <w:pPr>
              <w:pStyle w:val="SWTEKST"/>
              <w:widowControl w:val="false"/>
              <w:spacing w:lineRule="auto" w:line="276" w:before="0" w:after="0"/>
              <w:ind w:hanging="0"/>
              <w:jc w:val="center"/>
              <w:rPr>
                <w:rFonts w:ascii="Times New Roman" w:hAnsi="Times New Roman"/>
                <w:sz w:val="22"/>
                <w:szCs w:val="22"/>
                <w:shd w:fill="FFFFFF" w:val="clear"/>
              </w:rPr>
            </w:pPr>
            <w:r>
              <w:rPr>
                <w:rFonts w:ascii="Times New Roman" w:hAnsi="Times New Roman"/>
                <w:sz w:val="22"/>
                <w:szCs w:val="22"/>
                <w:shd w:fill="FFFFFF" w:val="clear"/>
              </w:rPr>
              <w:t>zdecydowanie negatywna</w:t>
            </w:r>
          </w:p>
        </w:tc>
        <w:tc>
          <w:tcPr>
            <w:tcW w:w="2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2"/>
              </w:rPr>
            </w:pPr>
            <w:r>
              <w:rPr>
                <w:rFonts w:eastAsia="Times New Roman" w:cs="Times New Roman" w:ascii="Times New Roman" w:hAnsi="Times New Roman"/>
                <w:sz w:val="22"/>
              </w:rPr>
            </w:r>
          </w:p>
        </w:tc>
      </w:tr>
      <w:tr>
        <w:trPr>
          <w:trHeight w:val="317" w:hRule="atLeast"/>
        </w:trPr>
        <w:tc>
          <w:tcPr>
            <w:tcW w:w="6400" w:type="dxa"/>
            <w:tcBorders>
              <w:top w:val="single" w:sz="4" w:space="0" w:color="000000"/>
              <w:left w:val="single" w:sz="4" w:space="0" w:color="000000"/>
              <w:bottom w:val="single" w:sz="4" w:space="0" w:color="000000"/>
              <w:right w:val="single" w:sz="4" w:space="0" w:color="000000"/>
            </w:tcBorders>
          </w:tcPr>
          <w:p>
            <w:pPr>
              <w:pStyle w:val="SWTEKST"/>
              <w:widowControl w:val="false"/>
              <w:spacing w:lineRule="auto" w:line="276" w:before="0" w:after="0"/>
              <w:ind w:hanging="0"/>
              <w:jc w:val="center"/>
              <w:rPr>
                <w:rFonts w:ascii="Times New Roman" w:hAnsi="Times New Roman"/>
                <w:sz w:val="22"/>
                <w:szCs w:val="22"/>
                <w:shd w:fill="FFFFFF" w:val="clear"/>
              </w:rPr>
            </w:pPr>
            <w:r>
              <w:rPr>
                <w:rFonts w:ascii="Times New Roman" w:hAnsi="Times New Roman"/>
                <w:sz w:val="22"/>
                <w:szCs w:val="22"/>
                <w:shd w:fill="FFFFFF" w:val="clear"/>
              </w:rPr>
              <w:t>trudno powiedzieć</w:t>
            </w:r>
          </w:p>
        </w:tc>
        <w:tc>
          <w:tcPr>
            <w:tcW w:w="2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2"/>
              </w:rPr>
            </w:pPr>
            <w:r>
              <w:rPr>
                <w:rFonts w:eastAsia="Times New Roman" w:cs="Times New Roman" w:ascii="Times New Roman" w:hAnsi="Times New Roman"/>
                <w:sz w:val="22"/>
              </w:rPr>
            </w:r>
          </w:p>
        </w:tc>
      </w:tr>
    </w:tbl>
    <w:p>
      <w:pPr>
        <w:pStyle w:val="Normal"/>
        <w:spacing w:before="0" w:after="12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ListParagraph"/>
        <w:numPr>
          <w:ilvl w:val="0"/>
          <w:numId w:val="3"/>
        </w:numPr>
        <w:spacing w:before="0" w:after="120"/>
        <w:contextualSpacing/>
        <w:rPr>
          <w:rFonts w:ascii="Times New Roman" w:hAnsi="Times New Roman" w:eastAsia="Calibri" w:cs="Times New Roman"/>
          <w:sz w:val="22"/>
          <w:shd w:fill="FFFFFF" w:val="clear"/>
          <w:lang w:val="x-none" w:eastAsia="pl-PL"/>
        </w:rPr>
      </w:pPr>
      <w:r>
        <w:rPr>
          <w:rFonts w:eastAsia="Calibri" w:cs="Times New Roman" w:ascii="Times New Roman" w:hAnsi="Times New Roman"/>
          <w:sz w:val="22"/>
          <w:shd w:fill="FFFFFF" w:val="clear"/>
          <w:lang w:val="x-none" w:eastAsia="pl-PL"/>
        </w:rPr>
        <w:t>Proszę o przedstawienie uz</w:t>
      </w:r>
      <w:r>
        <w:rPr>
          <w:rFonts w:eastAsia="Calibri" w:cs="Times New Roman" w:ascii="Times New Roman" w:hAnsi="Times New Roman"/>
          <w:sz w:val="22"/>
          <w:shd w:fill="FFFFFF" w:val="clear"/>
          <w:lang w:eastAsia="pl-PL"/>
        </w:rPr>
        <w:t>asadnienia</w:t>
      </w:r>
      <w:r>
        <w:rPr>
          <w:rFonts w:eastAsia="Calibri" w:cs="Times New Roman" w:ascii="Times New Roman" w:hAnsi="Times New Roman"/>
          <w:sz w:val="22"/>
          <w:shd w:fill="FFFFFF" w:val="clear"/>
          <w:lang w:val="x-none" w:eastAsia="pl-PL"/>
        </w:rPr>
        <w:t xml:space="preserve"> w przypadku odpowiedzi negatywnej i</w:t>
      </w:r>
      <w:r>
        <w:rPr>
          <w:rFonts w:eastAsia="Calibri" w:cs="Times New Roman" w:ascii="Times New Roman" w:hAnsi="Times New Roman"/>
          <w:sz w:val="22"/>
          <w:shd w:fill="FFFFFF" w:val="clear"/>
          <w:lang w:eastAsia="pl-PL"/>
        </w:rPr>
        <w:t> </w:t>
      </w:r>
      <w:r>
        <w:rPr>
          <w:rFonts w:eastAsia="Calibri" w:cs="Times New Roman" w:ascii="Times New Roman" w:hAnsi="Times New Roman"/>
          <w:sz w:val="22"/>
          <w:shd w:fill="FFFFFF" w:val="clear"/>
          <w:lang w:val="x-none" w:eastAsia="pl-PL"/>
        </w:rPr>
        <w:t>zdecydowanie negatywnej wraz z  propozycj</w:t>
      </w:r>
      <w:r>
        <w:rPr>
          <w:rFonts w:eastAsia="Calibri" w:cs="Times New Roman" w:ascii="Times New Roman" w:hAnsi="Times New Roman"/>
          <w:sz w:val="22"/>
          <w:shd w:fill="FFFFFF" w:val="clear"/>
          <w:lang w:eastAsia="pl-PL"/>
        </w:rPr>
        <w:t>ami</w:t>
      </w:r>
      <w:r>
        <w:rPr>
          <w:rFonts w:eastAsia="Calibri" w:cs="Times New Roman" w:ascii="Times New Roman" w:hAnsi="Times New Roman"/>
          <w:sz w:val="22"/>
          <w:shd w:fill="FFFFFF" w:val="clear"/>
          <w:lang w:val="x-none" w:eastAsia="pl-PL"/>
        </w:rPr>
        <w:t xml:space="preserve"> ewentualnych zmian granic obszaru zdegradowanego:</w:t>
      </w:r>
    </w:p>
    <w:tbl>
      <w:tblPr>
        <w:tblStyle w:val="Tabela-Siatka"/>
        <w:tblW w:w="8931"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8931"/>
      </w:tblGrid>
      <w:tr>
        <w:trPr/>
        <w:tc>
          <w:tcPr>
            <w:tcW w:w="8931" w:type="dxa"/>
            <w:tcBorders/>
          </w:tcPr>
          <w:p>
            <w:pPr>
              <w:pStyle w:val="Normal"/>
              <w:widowControl w:val="false"/>
              <w:suppressAutoHyphens w:val="true"/>
              <w:spacing w:lineRule="auto" w:line="276" w:before="0" w:after="120"/>
              <w:jc w:val="center"/>
              <w:rPr>
                <w:rFonts w:ascii="Times New Roman" w:hAnsi="Times New Roman" w:eastAsia="Calibri" w:cs="Times New Roman"/>
                <w:sz w:val="22"/>
                <w:shd w:fill="FFFFFF" w:val="clear"/>
                <w:lang w:val="x-none" w:eastAsia="pl-PL"/>
              </w:rPr>
            </w:pPr>
            <w:r>
              <w:rPr>
                <w:rFonts w:eastAsia="Calibri" w:cs="Times New Roman" w:ascii="Times New Roman" w:hAnsi="Times New Roman"/>
                <w:sz w:val="22"/>
                <w:shd w:fill="FFFFFF" w:val="clear"/>
                <w:lang w:val="x-none" w:eastAsia="pl-PL"/>
              </w:rPr>
            </w:r>
          </w:p>
          <w:p>
            <w:pPr>
              <w:pStyle w:val="Normal"/>
              <w:widowControl w:val="false"/>
              <w:suppressAutoHyphens w:val="true"/>
              <w:spacing w:lineRule="auto" w:line="276" w:before="0" w:after="120"/>
              <w:jc w:val="center"/>
              <w:rPr>
                <w:rFonts w:ascii="Times New Roman" w:hAnsi="Times New Roman" w:eastAsia="Calibri" w:cs="Times New Roman"/>
                <w:sz w:val="22"/>
                <w:shd w:fill="FFFFFF" w:val="clear"/>
                <w:lang w:val="x-none" w:eastAsia="pl-PL"/>
              </w:rPr>
            </w:pPr>
            <w:r>
              <w:rPr>
                <w:rFonts w:eastAsia="Calibri" w:cs="Times New Roman" w:ascii="Times New Roman" w:hAnsi="Times New Roman"/>
                <w:sz w:val="22"/>
                <w:shd w:fill="FFFFFF" w:val="clear"/>
                <w:lang w:val="x-none" w:eastAsia="pl-PL"/>
              </w:rPr>
            </w:r>
          </w:p>
          <w:p>
            <w:pPr>
              <w:pStyle w:val="Normal"/>
              <w:widowControl w:val="false"/>
              <w:suppressAutoHyphens w:val="true"/>
              <w:spacing w:lineRule="auto" w:line="276" w:before="0" w:after="120"/>
              <w:jc w:val="center"/>
              <w:rPr>
                <w:rFonts w:ascii="Times New Roman" w:hAnsi="Times New Roman" w:eastAsia="Calibri" w:cs="Times New Roman"/>
                <w:sz w:val="22"/>
                <w:shd w:fill="FFFFFF" w:val="clear"/>
                <w:lang w:val="x-none" w:eastAsia="pl-PL"/>
              </w:rPr>
            </w:pPr>
            <w:r>
              <w:rPr>
                <w:rFonts w:eastAsia="Calibri" w:cs="Times New Roman" w:ascii="Times New Roman" w:hAnsi="Times New Roman"/>
                <w:sz w:val="22"/>
                <w:shd w:fill="FFFFFF" w:val="clear"/>
                <w:lang w:val="x-none" w:eastAsia="pl-PL"/>
              </w:rPr>
            </w:r>
          </w:p>
        </w:tc>
      </w:tr>
    </w:tbl>
    <w:p>
      <w:pPr>
        <w:pStyle w:val="Normal"/>
        <w:spacing w:before="0" w:after="120"/>
        <w:jc w:val="center"/>
        <w:rPr>
          <w:rFonts w:ascii="Times New Roman" w:hAnsi="Times New Roman" w:eastAsia="Times New Roman" w:cs="Times New Roman"/>
          <w:sz w:val="12"/>
          <w:szCs w:val="12"/>
        </w:rPr>
      </w:pPr>
      <w:r>
        <w:rPr>
          <w:rFonts w:eastAsia="Times New Roman" w:cs="Times New Roman" w:ascii="Times New Roman" w:hAnsi="Times New Roman"/>
          <w:sz w:val="12"/>
          <w:szCs w:val="12"/>
        </w:rPr>
      </w:r>
    </w:p>
    <w:p>
      <w:pPr>
        <w:pStyle w:val="SWTEKST"/>
        <w:numPr>
          <w:ilvl w:val="0"/>
          <w:numId w:val="3"/>
        </w:numPr>
        <w:spacing w:lineRule="auto" w:line="276" w:before="0" w:after="120"/>
        <w:rPr>
          <w:rFonts w:ascii="Times New Roman" w:hAnsi="Times New Roman"/>
          <w:sz w:val="22"/>
          <w:szCs w:val="22"/>
          <w:shd w:fill="FFFFFF" w:val="clear"/>
          <w:lang w:val="pl-PL"/>
        </w:rPr>
      </w:pPr>
      <w:r>
        <w:rPr>
          <w:rFonts w:ascii="Times New Roman" w:hAnsi="Times New Roman"/>
          <w:sz w:val="22"/>
          <w:szCs w:val="22"/>
          <w:shd w:fill="FFFFFF" w:val="clear"/>
        </w:rPr>
        <w:t>Proszę o zaznaczenie znakiem „X” w tabeli P</w:t>
      </w:r>
      <w:r>
        <w:rPr>
          <w:rFonts w:ascii="Times New Roman" w:hAnsi="Times New Roman"/>
          <w:sz w:val="22"/>
          <w:szCs w:val="22"/>
          <w:shd w:fill="auto" w:val="clear"/>
        </w:rPr>
        <w:t xml:space="preserve">ani/Pana opinii na temat projektowanego przebiegu granic obszaru rewitalizacji na terenie Gminy </w:t>
      </w:r>
      <w:r>
        <w:rPr>
          <w:rFonts w:cs="Times New Roman" w:ascii="Times New Roman" w:hAnsi="Times New Roman"/>
          <w:sz w:val="22"/>
          <w:szCs w:val="22"/>
          <w:shd w:fill="auto" w:val="clear"/>
        </w:rPr>
        <w:t>Żółkiewka</w:t>
      </w:r>
      <w:r>
        <w:rPr>
          <w:rFonts w:cs="Times New Roman" w:ascii="Times New Roman" w:hAnsi="Times New Roman"/>
          <w:sz w:val="22"/>
          <w:szCs w:val="22"/>
          <w:shd w:fill="auto" w:val="clear"/>
          <w:lang w:val="pl-PL"/>
        </w:rPr>
        <w:t>:</w:t>
      </w:r>
    </w:p>
    <w:tbl>
      <w:tblPr>
        <w:tblW w:w="8943" w:type="dxa"/>
        <w:jc w:val="center"/>
        <w:tblInd w:w="0" w:type="dxa"/>
        <w:tblLayout w:type="fixed"/>
        <w:tblCellMar>
          <w:top w:w="0" w:type="dxa"/>
          <w:left w:w="108" w:type="dxa"/>
          <w:bottom w:w="0" w:type="dxa"/>
          <w:right w:w="108" w:type="dxa"/>
        </w:tblCellMar>
        <w:tblLook w:firstRow="1" w:noVBand="0" w:lastRow="0" w:firstColumn="1" w:lastColumn="0" w:noHBand="0" w:val="00a0"/>
      </w:tblPr>
      <w:tblGrid>
        <w:gridCol w:w="6297"/>
        <w:gridCol w:w="2645"/>
      </w:tblGrid>
      <w:tr>
        <w:trPr>
          <w:trHeight w:val="317" w:hRule="atLeast"/>
        </w:trPr>
        <w:tc>
          <w:tcPr>
            <w:tcW w:w="6297" w:type="dxa"/>
            <w:tcBorders>
              <w:top w:val="single" w:sz="4" w:space="0" w:color="000000"/>
              <w:left w:val="single" w:sz="4" w:space="0" w:color="000000"/>
              <w:bottom w:val="single" w:sz="4" w:space="0" w:color="000000"/>
              <w:right w:val="single" w:sz="4" w:space="0" w:color="000000"/>
            </w:tcBorders>
          </w:tcPr>
          <w:p>
            <w:pPr>
              <w:pStyle w:val="SWTEKST"/>
              <w:widowControl w:val="false"/>
              <w:spacing w:lineRule="auto" w:line="276" w:before="0" w:after="0"/>
              <w:ind w:hanging="0"/>
              <w:jc w:val="center"/>
              <w:rPr>
                <w:rFonts w:ascii="Times New Roman" w:hAnsi="Times New Roman"/>
                <w:sz w:val="22"/>
                <w:szCs w:val="22"/>
                <w:shd w:fill="FFFFFF" w:val="clear"/>
              </w:rPr>
            </w:pPr>
            <w:r>
              <w:rPr>
                <w:rFonts w:ascii="Times New Roman" w:hAnsi="Times New Roman"/>
                <w:sz w:val="22"/>
                <w:szCs w:val="22"/>
                <w:shd w:fill="FFFFFF" w:val="clear"/>
              </w:rPr>
              <w:t>zdecydowanie pozytywna</w:t>
            </w:r>
          </w:p>
        </w:tc>
        <w:tc>
          <w:tcPr>
            <w:tcW w:w="26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2"/>
              </w:rPr>
            </w:pPr>
            <w:r>
              <w:rPr>
                <w:rFonts w:eastAsia="Times New Roman" w:cs="Times New Roman" w:ascii="Times New Roman" w:hAnsi="Times New Roman"/>
                <w:sz w:val="22"/>
              </w:rPr>
            </w:r>
          </w:p>
        </w:tc>
      </w:tr>
      <w:tr>
        <w:trPr>
          <w:trHeight w:val="317" w:hRule="atLeast"/>
        </w:trPr>
        <w:tc>
          <w:tcPr>
            <w:tcW w:w="6297" w:type="dxa"/>
            <w:tcBorders>
              <w:top w:val="single" w:sz="4" w:space="0" w:color="000000"/>
              <w:left w:val="single" w:sz="4" w:space="0" w:color="000000"/>
              <w:bottom w:val="single" w:sz="4" w:space="0" w:color="000000"/>
              <w:right w:val="single" w:sz="4" w:space="0" w:color="000000"/>
            </w:tcBorders>
          </w:tcPr>
          <w:p>
            <w:pPr>
              <w:pStyle w:val="SWTEKST"/>
              <w:widowControl w:val="false"/>
              <w:spacing w:lineRule="auto" w:line="276" w:before="0" w:after="0"/>
              <w:ind w:hanging="0"/>
              <w:jc w:val="center"/>
              <w:rPr>
                <w:rFonts w:ascii="Times New Roman" w:hAnsi="Times New Roman"/>
                <w:sz w:val="22"/>
                <w:szCs w:val="22"/>
                <w:shd w:fill="FFFFFF" w:val="clear"/>
              </w:rPr>
            </w:pPr>
            <w:r>
              <w:rPr>
                <w:rFonts w:ascii="Times New Roman" w:hAnsi="Times New Roman"/>
                <w:sz w:val="22"/>
                <w:szCs w:val="22"/>
                <w:shd w:fill="FFFFFF" w:val="clear"/>
              </w:rPr>
              <w:t>pozytywna</w:t>
            </w:r>
          </w:p>
        </w:tc>
        <w:tc>
          <w:tcPr>
            <w:tcW w:w="26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2"/>
              </w:rPr>
            </w:pPr>
            <w:r>
              <w:rPr>
                <w:rFonts w:eastAsia="Times New Roman" w:cs="Times New Roman" w:ascii="Times New Roman" w:hAnsi="Times New Roman"/>
                <w:sz w:val="22"/>
              </w:rPr>
            </w:r>
          </w:p>
        </w:tc>
      </w:tr>
      <w:tr>
        <w:trPr>
          <w:trHeight w:val="317" w:hRule="atLeast"/>
        </w:trPr>
        <w:tc>
          <w:tcPr>
            <w:tcW w:w="6297" w:type="dxa"/>
            <w:tcBorders>
              <w:top w:val="single" w:sz="4" w:space="0" w:color="000000"/>
              <w:left w:val="single" w:sz="4" w:space="0" w:color="000000"/>
              <w:bottom w:val="single" w:sz="4" w:space="0" w:color="000000"/>
              <w:right w:val="single" w:sz="4" w:space="0" w:color="000000"/>
            </w:tcBorders>
          </w:tcPr>
          <w:p>
            <w:pPr>
              <w:pStyle w:val="SWTEKST"/>
              <w:widowControl w:val="false"/>
              <w:spacing w:lineRule="auto" w:line="276" w:before="0" w:after="0"/>
              <w:ind w:hanging="0"/>
              <w:jc w:val="center"/>
              <w:rPr>
                <w:rFonts w:ascii="Times New Roman" w:hAnsi="Times New Roman"/>
                <w:sz w:val="22"/>
                <w:szCs w:val="22"/>
                <w:shd w:fill="FFFFFF" w:val="clear"/>
              </w:rPr>
            </w:pPr>
            <w:r>
              <w:rPr>
                <w:rFonts w:ascii="Times New Roman" w:hAnsi="Times New Roman"/>
                <w:sz w:val="22"/>
                <w:szCs w:val="22"/>
                <w:shd w:fill="FFFFFF" w:val="clear"/>
              </w:rPr>
              <w:t>negatywna</w:t>
            </w:r>
          </w:p>
        </w:tc>
        <w:tc>
          <w:tcPr>
            <w:tcW w:w="26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2"/>
              </w:rPr>
            </w:pPr>
            <w:r>
              <w:rPr>
                <w:rFonts w:eastAsia="Times New Roman" w:cs="Times New Roman" w:ascii="Times New Roman" w:hAnsi="Times New Roman"/>
                <w:sz w:val="22"/>
              </w:rPr>
            </w:r>
          </w:p>
        </w:tc>
      </w:tr>
      <w:tr>
        <w:trPr>
          <w:trHeight w:val="317" w:hRule="atLeast"/>
        </w:trPr>
        <w:tc>
          <w:tcPr>
            <w:tcW w:w="6297" w:type="dxa"/>
            <w:tcBorders>
              <w:top w:val="single" w:sz="4" w:space="0" w:color="000000"/>
              <w:left w:val="single" w:sz="4" w:space="0" w:color="000000"/>
              <w:bottom w:val="single" w:sz="4" w:space="0" w:color="000000"/>
              <w:right w:val="single" w:sz="4" w:space="0" w:color="000000"/>
            </w:tcBorders>
          </w:tcPr>
          <w:p>
            <w:pPr>
              <w:pStyle w:val="SWTEKST"/>
              <w:widowControl w:val="false"/>
              <w:spacing w:lineRule="auto" w:line="276" w:before="0" w:after="0"/>
              <w:ind w:hanging="0"/>
              <w:jc w:val="center"/>
              <w:rPr>
                <w:rFonts w:ascii="Times New Roman" w:hAnsi="Times New Roman"/>
                <w:sz w:val="22"/>
                <w:szCs w:val="22"/>
                <w:shd w:fill="FFFFFF" w:val="clear"/>
              </w:rPr>
            </w:pPr>
            <w:r>
              <w:rPr>
                <w:rFonts w:ascii="Times New Roman" w:hAnsi="Times New Roman"/>
                <w:sz w:val="22"/>
                <w:szCs w:val="22"/>
                <w:shd w:fill="FFFFFF" w:val="clear"/>
              </w:rPr>
              <w:t>zdecydowanie negatywna</w:t>
            </w:r>
          </w:p>
        </w:tc>
        <w:tc>
          <w:tcPr>
            <w:tcW w:w="26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2"/>
              </w:rPr>
            </w:pPr>
            <w:r>
              <w:rPr>
                <w:rFonts w:eastAsia="Times New Roman" w:cs="Times New Roman" w:ascii="Times New Roman" w:hAnsi="Times New Roman"/>
                <w:sz w:val="22"/>
              </w:rPr>
            </w:r>
          </w:p>
        </w:tc>
      </w:tr>
      <w:tr>
        <w:trPr>
          <w:trHeight w:val="317" w:hRule="atLeast"/>
        </w:trPr>
        <w:tc>
          <w:tcPr>
            <w:tcW w:w="6297" w:type="dxa"/>
            <w:tcBorders>
              <w:top w:val="single" w:sz="4" w:space="0" w:color="000000"/>
              <w:left w:val="single" w:sz="4" w:space="0" w:color="000000"/>
              <w:bottom w:val="single" w:sz="4" w:space="0" w:color="000000"/>
              <w:right w:val="single" w:sz="4" w:space="0" w:color="000000"/>
            </w:tcBorders>
          </w:tcPr>
          <w:p>
            <w:pPr>
              <w:pStyle w:val="SWTEKST"/>
              <w:widowControl w:val="false"/>
              <w:spacing w:lineRule="auto" w:line="276" w:before="0" w:after="0"/>
              <w:ind w:hanging="0"/>
              <w:jc w:val="center"/>
              <w:rPr>
                <w:rFonts w:ascii="Times New Roman" w:hAnsi="Times New Roman"/>
                <w:sz w:val="22"/>
                <w:szCs w:val="22"/>
                <w:shd w:fill="FFFFFF" w:val="clear"/>
              </w:rPr>
            </w:pPr>
            <w:r>
              <w:rPr>
                <w:rFonts w:ascii="Times New Roman" w:hAnsi="Times New Roman"/>
                <w:sz w:val="22"/>
                <w:szCs w:val="22"/>
                <w:shd w:fill="FFFFFF" w:val="clear"/>
              </w:rPr>
              <w:t>trudno powiedzieć</w:t>
            </w:r>
          </w:p>
        </w:tc>
        <w:tc>
          <w:tcPr>
            <w:tcW w:w="26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2"/>
              </w:rPr>
            </w:pPr>
            <w:r>
              <w:rPr>
                <w:rFonts w:eastAsia="Times New Roman" w:cs="Times New Roman" w:ascii="Times New Roman" w:hAnsi="Times New Roman"/>
                <w:sz w:val="22"/>
              </w:rPr>
            </w:r>
          </w:p>
        </w:tc>
      </w:tr>
    </w:tbl>
    <w:p>
      <w:pPr>
        <w:pStyle w:val="Normal"/>
        <w:spacing w:before="0" w:after="120"/>
        <w:jc w:val="center"/>
        <w:rPr>
          <w:rFonts w:ascii="Times New Roman" w:hAnsi="Times New Roman" w:eastAsia="Calibri" w:cs="Times New Roman"/>
          <w:sz w:val="12"/>
          <w:szCs w:val="12"/>
          <w:shd w:fill="FFFFFF" w:val="clear"/>
          <w:lang w:val="x-none" w:eastAsia="pl-PL"/>
        </w:rPr>
      </w:pPr>
      <w:r>
        <w:rPr>
          <w:rFonts w:eastAsia="Calibri" w:cs="Times New Roman" w:ascii="Times New Roman" w:hAnsi="Times New Roman"/>
          <w:sz w:val="12"/>
          <w:szCs w:val="12"/>
          <w:shd w:fill="FFFFFF" w:val="clear"/>
          <w:lang w:val="x-none" w:eastAsia="pl-PL"/>
        </w:rPr>
      </w:r>
    </w:p>
    <w:p>
      <w:pPr>
        <w:pStyle w:val="ListParagraph"/>
        <w:numPr>
          <w:ilvl w:val="0"/>
          <w:numId w:val="3"/>
        </w:numPr>
        <w:spacing w:before="0" w:after="120"/>
        <w:contextualSpacing/>
        <w:rPr>
          <w:rFonts w:ascii="Times New Roman" w:hAnsi="Times New Roman" w:eastAsia="Calibri" w:cs="Times New Roman"/>
          <w:sz w:val="22"/>
          <w:shd w:fill="FFFFFF" w:val="clear"/>
          <w:lang w:val="x-none" w:eastAsia="pl-PL"/>
        </w:rPr>
      </w:pPr>
      <w:r>
        <w:rPr>
          <w:rFonts w:eastAsia="Calibri" w:cs="Times New Roman" w:ascii="Times New Roman" w:hAnsi="Times New Roman"/>
          <w:sz w:val="22"/>
          <w:shd w:fill="FFFFFF" w:val="clear"/>
          <w:lang w:val="x-none" w:eastAsia="pl-PL"/>
        </w:rPr>
        <w:t>Proszę o przedstawienie uz</w:t>
      </w:r>
      <w:r>
        <w:rPr>
          <w:rFonts w:eastAsia="Calibri" w:cs="Times New Roman" w:ascii="Times New Roman" w:hAnsi="Times New Roman"/>
          <w:sz w:val="22"/>
          <w:shd w:fill="FFFFFF" w:val="clear"/>
          <w:lang w:eastAsia="pl-PL"/>
        </w:rPr>
        <w:t>asadnienia</w:t>
      </w:r>
      <w:r>
        <w:rPr>
          <w:rFonts w:eastAsia="Calibri" w:cs="Times New Roman" w:ascii="Times New Roman" w:hAnsi="Times New Roman"/>
          <w:sz w:val="22"/>
          <w:shd w:fill="FFFFFF" w:val="clear"/>
          <w:lang w:val="x-none" w:eastAsia="pl-PL"/>
        </w:rPr>
        <w:t xml:space="preserve"> w przypadku odpowiedzi negatywnej i</w:t>
      </w:r>
      <w:r>
        <w:rPr>
          <w:rFonts w:eastAsia="Calibri" w:cs="Times New Roman" w:ascii="Times New Roman" w:hAnsi="Times New Roman"/>
          <w:sz w:val="22"/>
          <w:shd w:fill="FFFFFF" w:val="clear"/>
          <w:lang w:eastAsia="pl-PL"/>
        </w:rPr>
        <w:t> </w:t>
      </w:r>
      <w:r>
        <w:rPr>
          <w:rFonts w:eastAsia="Calibri" w:cs="Times New Roman" w:ascii="Times New Roman" w:hAnsi="Times New Roman"/>
          <w:sz w:val="22"/>
          <w:shd w:fill="FFFFFF" w:val="clear"/>
          <w:lang w:val="x-none" w:eastAsia="pl-PL"/>
        </w:rPr>
        <w:t>zdecydowanie negatywnej wraz z  propozycj</w:t>
      </w:r>
      <w:r>
        <w:rPr>
          <w:rFonts w:eastAsia="Calibri" w:cs="Times New Roman" w:ascii="Times New Roman" w:hAnsi="Times New Roman"/>
          <w:sz w:val="22"/>
          <w:shd w:fill="FFFFFF" w:val="clear"/>
          <w:lang w:eastAsia="pl-PL"/>
        </w:rPr>
        <w:t>ami</w:t>
      </w:r>
      <w:r>
        <w:rPr>
          <w:rFonts w:eastAsia="Calibri" w:cs="Times New Roman" w:ascii="Times New Roman" w:hAnsi="Times New Roman"/>
          <w:sz w:val="22"/>
          <w:shd w:fill="FFFFFF" w:val="clear"/>
          <w:lang w:val="x-none" w:eastAsia="pl-PL"/>
        </w:rPr>
        <w:t xml:space="preserve"> ewentualnych zmian granic obszaru rewitalizacji:</w:t>
      </w:r>
    </w:p>
    <w:tbl>
      <w:tblPr>
        <w:tblStyle w:val="Tabela-Siatka"/>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62"/>
      </w:tblGrid>
      <w:tr>
        <w:trPr/>
        <w:tc>
          <w:tcPr>
            <w:tcW w:w="9062" w:type="dxa"/>
            <w:tcBorders/>
          </w:tcPr>
          <w:p>
            <w:pPr>
              <w:pStyle w:val="Normal"/>
              <w:widowControl w:val="false"/>
              <w:suppressAutoHyphens w:val="true"/>
              <w:spacing w:lineRule="auto" w:line="276" w:before="0" w:after="120"/>
              <w:jc w:val="center"/>
              <w:rPr>
                <w:rFonts w:ascii="Times New Roman" w:hAnsi="Times New Roman" w:eastAsia="Calibri" w:cs="Times New Roman"/>
                <w:sz w:val="22"/>
                <w:shd w:fill="FFFFFF" w:val="clear"/>
                <w:lang w:val="x-none" w:eastAsia="pl-PL"/>
              </w:rPr>
            </w:pPr>
            <w:r>
              <w:rPr>
                <w:rFonts w:eastAsia="Calibri" w:cs="Times New Roman" w:ascii="Times New Roman" w:hAnsi="Times New Roman"/>
                <w:sz w:val="22"/>
                <w:shd w:fill="FFFFFF" w:val="clear"/>
                <w:lang w:val="x-none" w:eastAsia="pl-PL"/>
              </w:rPr>
            </w:r>
          </w:p>
          <w:p>
            <w:pPr>
              <w:pStyle w:val="Normal"/>
              <w:widowControl w:val="false"/>
              <w:suppressAutoHyphens w:val="true"/>
              <w:spacing w:lineRule="auto" w:line="276" w:before="0" w:after="120"/>
              <w:jc w:val="center"/>
              <w:rPr>
                <w:rFonts w:ascii="Times New Roman" w:hAnsi="Times New Roman" w:eastAsia="Calibri" w:cs="Times New Roman"/>
                <w:sz w:val="22"/>
                <w:shd w:fill="FFFFFF" w:val="clear"/>
                <w:lang w:val="x-none" w:eastAsia="pl-PL"/>
              </w:rPr>
            </w:pPr>
            <w:r>
              <w:rPr>
                <w:rFonts w:eastAsia="Calibri" w:cs="Times New Roman" w:ascii="Times New Roman" w:hAnsi="Times New Roman"/>
                <w:sz w:val="22"/>
                <w:shd w:fill="FFFFFF" w:val="clear"/>
                <w:lang w:val="x-none" w:eastAsia="pl-PL"/>
              </w:rPr>
            </w:r>
          </w:p>
          <w:p>
            <w:pPr>
              <w:pStyle w:val="Normal"/>
              <w:widowControl w:val="false"/>
              <w:suppressAutoHyphens w:val="true"/>
              <w:spacing w:lineRule="auto" w:line="276" w:before="0" w:after="120"/>
              <w:rPr>
                <w:rFonts w:ascii="Times New Roman" w:hAnsi="Times New Roman" w:eastAsia="Calibri" w:cs="Times New Roman"/>
                <w:sz w:val="22"/>
                <w:shd w:fill="FFFFFF" w:val="clear"/>
                <w:lang w:val="x-none" w:eastAsia="pl-PL"/>
              </w:rPr>
            </w:pPr>
            <w:r>
              <w:rPr>
                <w:rFonts w:eastAsia="Calibri" w:cs="Times New Roman" w:ascii="Times New Roman" w:hAnsi="Times New Roman"/>
                <w:sz w:val="22"/>
                <w:shd w:fill="FFFFFF" w:val="clear"/>
                <w:lang w:val="x-none" w:eastAsia="pl-PL"/>
              </w:rPr>
            </w:r>
          </w:p>
        </w:tc>
      </w:tr>
      <w:tr>
        <w:trPr/>
        <w:tc>
          <w:tcPr>
            <w:tcW w:w="9062" w:type="dxa"/>
            <w:tcBorders/>
          </w:tcPr>
          <w:p>
            <w:pPr>
              <w:pStyle w:val="SWTEKST"/>
              <w:widowControl w:val="false"/>
              <w:suppressAutoHyphens w:val="true"/>
              <w:spacing w:lineRule="auto" w:line="276" w:before="0" w:after="0"/>
              <w:ind w:hanging="0"/>
              <w:jc w:val="left"/>
              <w:rPr>
                <w:rFonts w:ascii="Times New Roman" w:hAnsi="Times New Roman"/>
                <w:sz w:val="22"/>
                <w:szCs w:val="22"/>
                <w:shd w:fill="FFFFFF" w:val="clear"/>
                <w:lang w:val="pl-PL"/>
              </w:rPr>
            </w:pPr>
            <w:r>
              <w:rPr>
                <w:rFonts w:ascii="Times New Roman" w:hAnsi="Times New Roman"/>
                <w:kern w:val="0"/>
                <w:sz w:val="22"/>
                <w:szCs w:val="22"/>
                <w:shd w:fill="FFFFFF" w:val="clear"/>
                <w:lang w:bidi="ar-SA"/>
              </w:rPr>
              <w:t>Imię i nazwisko:</w:t>
            </w:r>
          </w:p>
        </w:tc>
      </w:tr>
      <w:tr>
        <w:trPr/>
        <w:tc>
          <w:tcPr>
            <w:tcW w:w="9062" w:type="dxa"/>
            <w:tcBorders/>
          </w:tcPr>
          <w:p>
            <w:pPr>
              <w:pStyle w:val="SWTEKST"/>
              <w:widowControl w:val="false"/>
              <w:suppressAutoHyphens w:val="true"/>
              <w:spacing w:lineRule="auto" w:line="276" w:before="0" w:after="0"/>
              <w:ind w:hanging="0"/>
              <w:jc w:val="left"/>
              <w:rPr>
                <w:rFonts w:ascii="Times New Roman" w:hAnsi="Times New Roman"/>
                <w:sz w:val="22"/>
                <w:szCs w:val="22"/>
                <w:shd w:fill="FFFFFF" w:val="clear"/>
                <w:lang w:val="pl-PL"/>
              </w:rPr>
            </w:pPr>
            <w:r>
              <w:rPr>
                <w:rFonts w:ascii="Times New Roman" w:hAnsi="Times New Roman"/>
                <w:kern w:val="0"/>
                <w:sz w:val="22"/>
                <w:szCs w:val="22"/>
                <w:shd w:fill="FFFFFF" w:val="clear"/>
                <w:lang w:bidi="ar-SA"/>
              </w:rPr>
              <w:t>Dane kontaktowe:</w:t>
            </w:r>
          </w:p>
        </w:tc>
      </w:tr>
      <w:tr>
        <w:trPr/>
        <w:tc>
          <w:tcPr>
            <w:tcW w:w="9062" w:type="dxa"/>
            <w:tcBorders/>
          </w:tcPr>
          <w:p>
            <w:pPr>
              <w:pStyle w:val="SWTEKST"/>
              <w:widowControl w:val="false"/>
              <w:suppressAutoHyphens w:val="true"/>
              <w:spacing w:lineRule="auto" w:line="276" w:before="0" w:after="0"/>
              <w:ind w:left="567" w:hanging="0"/>
              <w:jc w:val="left"/>
              <w:rPr>
                <w:rFonts w:ascii="Times New Roman" w:hAnsi="Times New Roman"/>
                <w:sz w:val="22"/>
                <w:szCs w:val="22"/>
                <w:shd w:fill="FFFFFF" w:val="clear"/>
              </w:rPr>
            </w:pPr>
            <w:r>
              <w:rPr>
                <w:rFonts w:ascii="Times New Roman" w:hAnsi="Times New Roman"/>
                <w:kern w:val="0"/>
                <w:sz w:val="22"/>
                <w:szCs w:val="22"/>
                <w:shd w:fill="FFFFFF" w:val="clear"/>
                <w:lang w:bidi="ar-SA"/>
              </w:rPr>
              <w:t>adres e-mail:</w:t>
            </w:r>
          </w:p>
        </w:tc>
      </w:tr>
      <w:tr>
        <w:trPr/>
        <w:tc>
          <w:tcPr>
            <w:tcW w:w="9062" w:type="dxa"/>
            <w:tcBorders/>
          </w:tcPr>
          <w:p>
            <w:pPr>
              <w:pStyle w:val="SWTEKST"/>
              <w:widowControl w:val="false"/>
              <w:suppressAutoHyphens w:val="true"/>
              <w:spacing w:lineRule="auto" w:line="276" w:before="0" w:after="0"/>
              <w:ind w:left="567" w:hanging="0"/>
              <w:jc w:val="left"/>
              <w:rPr>
                <w:rFonts w:ascii="Times New Roman" w:hAnsi="Times New Roman"/>
                <w:sz w:val="22"/>
                <w:szCs w:val="22"/>
                <w:shd w:fill="FFFFFF" w:val="clear"/>
              </w:rPr>
            </w:pPr>
            <w:r>
              <w:rPr>
                <w:rFonts w:ascii="Times New Roman" w:hAnsi="Times New Roman"/>
                <w:kern w:val="0"/>
                <w:sz w:val="22"/>
                <w:szCs w:val="22"/>
                <w:shd w:fill="FFFFFF" w:val="clear"/>
                <w:lang w:bidi="ar-SA"/>
              </w:rPr>
              <w:t>nr telefonu:</w:t>
            </w:r>
          </w:p>
        </w:tc>
      </w:tr>
    </w:tbl>
    <w:p>
      <w:pPr>
        <w:pStyle w:val="Normal"/>
        <w:spacing w:lineRule="auto" w:line="240" w:before="0" w:after="0"/>
        <w:jc w:val="left"/>
        <w:rPr>
          <w:rFonts w:ascii="Times New Roman" w:hAnsi="Times New Roman" w:cs="Times New Roman"/>
          <w:color w:val="000000"/>
          <w:szCs w:val="24"/>
        </w:rPr>
      </w:pPr>
      <w:r>
        <w:rPr>
          <w:rFonts w:cs="Times New Roman" w:ascii="Times New Roman" w:hAnsi="Times New Roman"/>
          <w:color w:val="000000"/>
          <w:szCs w:val="24"/>
        </w:rPr>
      </w:r>
    </w:p>
    <w:p>
      <w:pPr>
        <w:pStyle w:val="Normal"/>
        <w:spacing w:lineRule="auto" w:line="240" w:before="0" w:after="0"/>
        <w:jc w:val="center"/>
        <w:rPr>
          <w:rFonts w:ascii="Times New Roman" w:hAnsi="Times New Roman" w:cs="Times New Roman"/>
          <w:color w:val="000000"/>
          <w:sz w:val="22"/>
        </w:rPr>
      </w:pPr>
      <w:r>
        <w:rPr>
          <w:rFonts w:cs="Times New Roman" w:ascii="Times New Roman" w:hAnsi="Times New Roman"/>
          <w:b/>
          <w:bCs/>
          <w:color w:val="000000"/>
          <w:sz w:val="22"/>
        </w:rPr>
        <w:t>Klauzula informacyjna</w:t>
      </w:r>
    </w:p>
    <w:p>
      <w:pPr>
        <w:pStyle w:val="Normal"/>
        <w:spacing w:lineRule="auto" w:line="240" w:before="0" w:after="0"/>
        <w:jc w:val="center"/>
        <w:rPr>
          <w:rFonts w:ascii="Times New Roman" w:hAnsi="Times New Roman" w:cs="Times New Roman"/>
          <w:b/>
          <w:b/>
          <w:bCs/>
          <w:color w:val="000000"/>
          <w:sz w:val="22"/>
        </w:rPr>
      </w:pPr>
      <w:r>
        <w:rPr>
          <w:rFonts w:cs="Times New Roman" w:ascii="Times New Roman" w:hAnsi="Times New Roman"/>
          <w:b/>
          <w:bCs/>
          <w:color w:val="000000"/>
          <w:sz w:val="22"/>
        </w:rPr>
        <w:t>przetwarzanie danych osobowych w celu przeprowadzenia konsultacji społecznych</w:t>
      </w:r>
    </w:p>
    <w:p>
      <w:pPr>
        <w:pStyle w:val="Normal"/>
        <w:spacing w:lineRule="auto" w:line="240" w:before="0" w:after="0"/>
        <w:rPr>
          <w:rFonts w:ascii="Sylfaen" w:hAnsi="Sylfaen" w:cs="Arial"/>
          <w:color w:val="000000"/>
          <w:sz w:val="22"/>
        </w:rPr>
      </w:pPr>
      <w:r>
        <w:rPr>
          <w:rFonts w:cs="Arial" w:ascii="Sylfaen" w:hAnsi="Sylfaen"/>
          <w:color w:val="000000"/>
          <w:sz w:val="22"/>
        </w:rPr>
      </w:r>
    </w:p>
    <w:p>
      <w:pPr>
        <w:pStyle w:val="Normal"/>
        <w:spacing w:before="0" w:after="120"/>
        <w:rPr>
          <w:rFonts w:ascii="Sylfaen" w:hAnsi="Sylfaen" w:eastAsia="Times New Roman" w:cs="Arial"/>
          <w:kern w:val="2"/>
          <w:sz w:val="20"/>
          <w:lang w:bidi="en-US"/>
        </w:rPr>
      </w:pPr>
      <w:r>
        <w:rPr/>
      </w:r>
    </w:p>
    <w:sectPr>
      <w:footerReference w:type="even" r:id="rId2"/>
      <w:footerReference w:type="default" r:id="rId3"/>
      <w:footerReference w:type="first" r:id="rId4"/>
      <w:type w:val="nextPage"/>
      <w:pgSz w:w="11906" w:h="16838"/>
      <w:pgMar w:left="1417" w:right="1417" w:gutter="0" w:header="0"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 w:name="Sylfaen">
    <w:charset w:val="ee"/>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Gallery w:val="Page Numbers (Top of Page)"/>
        <w:docPartUnique w:val="true"/>
      </w:docPartObj>
      <w:id w:val="947707324"/>
    </w:sdtPr>
    <w:sdtContent>
      <w:p>
        <w:pPr>
          <w:pStyle w:val="Stopka"/>
          <w:jc w:val="right"/>
          <w:rPr/>
        </w:pPr>
        <w:r>
          <w:rPr>
            <w:sz w:val="20"/>
          </w:rPr>
          <w:t xml:space="preserve">Strona </w:t>
        </w:r>
        <w:r>
          <w:rPr>
            <w:b/>
            <w:bCs/>
            <w:sz w:val="20"/>
            <w:szCs w:val="24"/>
          </w:rPr>
          <w:fldChar w:fldCharType="begin"/>
        </w:r>
        <w:r>
          <w:rPr>
            <w:sz w:val="20"/>
            <w:b/>
            <w:szCs w:val="24"/>
            <w:bCs/>
          </w:rPr>
          <w:instrText xml:space="preserve"> PAGE </w:instrText>
        </w:r>
        <w:r>
          <w:rPr>
            <w:sz w:val="20"/>
            <w:b/>
            <w:szCs w:val="24"/>
            <w:bCs/>
          </w:rPr>
          <w:fldChar w:fldCharType="separate"/>
        </w:r>
        <w:r>
          <w:rPr>
            <w:sz w:val="20"/>
            <w:b/>
            <w:szCs w:val="24"/>
            <w:bCs/>
          </w:rPr>
          <w:t>2</w:t>
        </w:r>
        <w:r>
          <w:rPr>
            <w:sz w:val="20"/>
            <w:b/>
            <w:szCs w:val="24"/>
            <w:bCs/>
          </w:rPr>
          <w:fldChar w:fldCharType="end"/>
        </w:r>
        <w:r>
          <w:rPr>
            <w:sz w:val="20"/>
          </w:rPr>
          <w:t xml:space="preserve"> z </w:t>
        </w:r>
        <w:r>
          <w:rPr>
            <w:b/>
            <w:bCs/>
            <w:sz w:val="20"/>
            <w:szCs w:val="24"/>
          </w:rPr>
          <w:fldChar w:fldCharType="begin"/>
        </w:r>
        <w:r>
          <w:rPr>
            <w:sz w:val="20"/>
            <w:b/>
            <w:szCs w:val="24"/>
            <w:bCs/>
          </w:rPr>
          <w:instrText xml:space="preserve"> NUMPAGES </w:instrText>
        </w:r>
        <w:r>
          <w:rPr>
            <w:sz w:val="20"/>
            <w:b/>
            <w:szCs w:val="24"/>
            <w:bCs/>
          </w:rPr>
          <w:fldChar w:fldCharType="separate"/>
        </w:r>
        <w:r>
          <w:rPr>
            <w:sz w:val="20"/>
            <w:b/>
            <w:szCs w:val="24"/>
            <w:bCs/>
          </w:rPr>
          <w:t>2</w:t>
        </w:r>
        <w:r>
          <w:rPr>
            <w:sz w:val="20"/>
            <w:b/>
            <w:szCs w:val="24"/>
            <w:bCs/>
          </w:rPr>
          <w:fldChar w:fldCharType="end"/>
        </w:r>
      </w:p>
    </w:sdtContent>
  </w:sdt>
  <w:p>
    <w:pPr>
      <w:pStyle w:val="Stopk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Gallery w:val="Page Numbers (Top of Page)"/>
        <w:docPartUnique w:val="true"/>
      </w:docPartObj>
      <w:id w:val="2041268514"/>
    </w:sdtPr>
    <w:sdtContent>
      <w:p>
        <w:pPr>
          <w:pStyle w:val="Stopka"/>
          <w:jc w:val="right"/>
          <w:rPr/>
        </w:pPr>
        <w:r>
          <w:rPr>
            <w:sz w:val="20"/>
          </w:rPr>
          <w:t xml:space="preserve">Strona </w:t>
        </w:r>
        <w:r>
          <w:rPr>
            <w:b/>
            <w:bCs/>
            <w:sz w:val="20"/>
            <w:szCs w:val="24"/>
          </w:rPr>
          <w:fldChar w:fldCharType="begin"/>
        </w:r>
        <w:r>
          <w:rPr>
            <w:sz w:val="20"/>
            <w:b/>
            <w:szCs w:val="24"/>
            <w:bCs/>
          </w:rPr>
          <w:instrText xml:space="preserve"> PAGE </w:instrText>
        </w:r>
        <w:r>
          <w:rPr>
            <w:sz w:val="20"/>
            <w:b/>
            <w:szCs w:val="24"/>
            <w:bCs/>
          </w:rPr>
          <w:fldChar w:fldCharType="separate"/>
        </w:r>
        <w:r>
          <w:rPr>
            <w:sz w:val="20"/>
            <w:b/>
            <w:szCs w:val="24"/>
            <w:bCs/>
          </w:rPr>
          <w:t>2</w:t>
        </w:r>
        <w:r>
          <w:rPr>
            <w:sz w:val="20"/>
            <w:b/>
            <w:szCs w:val="24"/>
            <w:bCs/>
          </w:rPr>
          <w:fldChar w:fldCharType="end"/>
        </w:r>
        <w:r>
          <w:rPr>
            <w:sz w:val="20"/>
          </w:rPr>
          <w:t xml:space="preserve"> z </w:t>
        </w:r>
        <w:r>
          <w:rPr>
            <w:b/>
            <w:bCs/>
            <w:sz w:val="20"/>
            <w:szCs w:val="24"/>
          </w:rPr>
          <w:fldChar w:fldCharType="begin"/>
        </w:r>
        <w:r>
          <w:rPr>
            <w:sz w:val="20"/>
            <w:b/>
            <w:szCs w:val="24"/>
            <w:bCs/>
          </w:rPr>
          <w:instrText xml:space="preserve"> NUMPAGES </w:instrText>
        </w:r>
        <w:r>
          <w:rPr>
            <w:sz w:val="20"/>
            <w:b/>
            <w:szCs w:val="24"/>
            <w:bCs/>
          </w:rPr>
          <w:fldChar w:fldCharType="separate"/>
        </w:r>
        <w:r>
          <w:rPr>
            <w:sz w:val="20"/>
            <w:b/>
            <w:szCs w:val="24"/>
            <w:bCs/>
          </w:rPr>
          <w:t>2</w:t>
        </w:r>
        <w:r>
          <w:rPr>
            <w:sz w:val="20"/>
            <w:b/>
            <w:szCs w:val="24"/>
            <w:bCs/>
          </w:rPr>
          <w:fldChar w:fldCharType="end"/>
        </w:r>
      </w:p>
    </w:sdtContent>
  </w:sdt>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firstLine="288"/>
      </w:pPr>
      <w:rPr/>
    </w:lvl>
    <w:lvl w:ilvl="1">
      <w:start w:val="1"/>
      <w:numFmt w:val="none"/>
      <w:suff w:val="nothing"/>
      <w:lvlText w:val=""/>
      <w:lvlJc w:val="right"/>
      <w:pPr>
        <w:tabs>
          <w:tab w:val="num" w:pos="0"/>
        </w:tabs>
        <w:ind w:left="5954" w:hanging="0"/>
      </w:pPr>
      <w:rPr/>
    </w:lvl>
    <w:lvl w:ilvl="2">
      <w:start w:val="1"/>
      <w:numFmt w:val="none"/>
      <w:suff w:val="nothing"/>
      <w:lvlText w:val=""/>
      <w:lvlJc w:val="right"/>
      <w:pPr>
        <w:tabs>
          <w:tab w:val="num" w:pos="0"/>
        </w:tabs>
        <w:ind w:left="5954" w:hanging="0"/>
      </w:pPr>
      <w:rPr/>
    </w:lvl>
    <w:lvl w:ilvl="3">
      <w:start w:val="1"/>
      <w:numFmt w:val="decimal"/>
      <w:suff w:val="space"/>
      <w:lvlText w:val="§ %1%4."/>
      <w:lvlJc w:val="left"/>
      <w:pPr>
        <w:tabs>
          <w:tab w:val="num" w:pos="0"/>
        </w:tabs>
        <w:ind w:left="0" w:firstLine="397"/>
      </w:pPr>
      <w:rPr>
        <w:b/>
      </w:rPr>
    </w:lvl>
    <w:lvl w:ilvl="4">
      <w:start w:val="2"/>
      <w:numFmt w:val="decimal"/>
      <w:suff w:val="space"/>
      <w:lvlText w:val="%1%5."/>
      <w:lvlJc w:val="left"/>
      <w:pPr>
        <w:tabs>
          <w:tab w:val="num" w:pos="0"/>
        </w:tabs>
        <w:ind w:left="0" w:firstLine="624"/>
      </w:pPr>
      <w:rPr/>
    </w:lvl>
    <w:lvl w:ilvl="5">
      <w:start w:val="1"/>
      <w:numFmt w:val="decimal"/>
      <w:suff w:val="space"/>
      <w:lvlText w:val="%1%6)"/>
      <w:lvlJc w:val="left"/>
      <w:pPr>
        <w:tabs>
          <w:tab w:val="num" w:pos="0"/>
        </w:tabs>
        <w:ind w:left="397" w:hanging="340"/>
      </w:pPr>
      <w:rPr/>
    </w:lvl>
    <w:lvl w:ilvl="6">
      <w:start w:val="1"/>
      <w:numFmt w:val="lowerLetter"/>
      <w:suff w:val="space"/>
      <w:lvlText w:val="%7)"/>
      <w:lvlJc w:val="left"/>
      <w:pPr>
        <w:tabs>
          <w:tab w:val="num" w:pos="0"/>
        </w:tabs>
        <w:ind w:left="680" w:hanging="226"/>
      </w:pPr>
      <w:rPr/>
    </w:lvl>
    <w:lvl w:ilvl="7">
      <w:start w:val="1"/>
      <w:numFmt w:val="bullet"/>
      <w:suff w:val="space"/>
      <w:lvlText w:val="-"/>
      <w:lvlJc w:val="left"/>
      <w:pPr>
        <w:tabs>
          <w:tab w:val="num" w:pos="0"/>
        </w:tabs>
        <w:ind w:left="851" w:hanging="171"/>
      </w:pPr>
      <w:rPr>
        <w:rFonts w:ascii="Times New Roman" w:hAnsi="Times New Roman" w:cs="Times New Roman" w:hint="default"/>
        <w:sz w:val="24"/>
      </w:rPr>
    </w:lvl>
    <w:lvl w:ilvl="8">
      <w:start w:val="1"/>
      <w:numFmt w:val="none"/>
      <w:suff w:val="nothing"/>
      <w:lvlText w:val=""/>
      <w:lvlJc w:val="left"/>
      <w:pPr>
        <w:tabs>
          <w:tab w:val="num" w:pos="0"/>
        </w:tabs>
        <w:ind w:left="0" w:firstLine="624"/>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1"/>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b0030"/>
    <w:pPr>
      <w:widowControl/>
      <w:suppressAutoHyphens w:val="true"/>
      <w:bidi w:val="0"/>
      <w:spacing w:lineRule="auto" w:line="276" w:before="0" w:after="200"/>
      <w:jc w:val="both"/>
    </w:pPr>
    <w:rPr>
      <w:rFonts w:ascii="Arial" w:hAnsi="Arial" w:eastAsia="Calibri" w:cs="" w:cstheme="minorBidi" w:eastAsiaTheme="minorHAnsi"/>
      <w:color w:val="auto"/>
      <w:kern w:val="0"/>
      <w:sz w:val="24"/>
      <w:szCs w:val="22"/>
      <w:lang w:val="pl-PL" w:eastAsia="en-US" w:bidi="ar-SA"/>
    </w:rPr>
  </w:style>
  <w:style w:type="paragraph" w:styleId="Nagwek1">
    <w:name w:val="Heading 1"/>
    <w:basedOn w:val="Normal"/>
    <w:link w:val="Nagwek1Znak"/>
    <w:uiPriority w:val="9"/>
    <w:qFormat/>
    <w:rsid w:val="00914f96"/>
    <w:pPr>
      <w:spacing w:lineRule="auto" w:line="240" w:beforeAutospacing="1" w:afterAutospacing="1"/>
      <w:outlineLvl w:val="0"/>
    </w:pPr>
    <w:rPr>
      <w:rFonts w:ascii="Times New Roman" w:hAnsi="Times New Roman" w:eastAsia="Times New Roman" w:cs="Times New Roman"/>
      <w:b/>
      <w:bCs/>
      <w:kern w:val="2"/>
      <w:sz w:val="48"/>
      <w:szCs w:val="48"/>
      <w:lang w:eastAsia="pl-PL"/>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uiPriority w:val="9"/>
    <w:qFormat/>
    <w:rsid w:val="00914f96"/>
    <w:rPr>
      <w:rFonts w:ascii="Times New Roman" w:hAnsi="Times New Roman" w:eastAsia="Times New Roman" w:cs="Times New Roman"/>
      <w:b/>
      <w:bCs/>
      <w:kern w:val="2"/>
      <w:sz w:val="48"/>
      <w:szCs w:val="48"/>
      <w:lang w:eastAsia="pl-PL"/>
    </w:rPr>
  </w:style>
  <w:style w:type="character" w:styleId="Annotationreference">
    <w:name w:val="annotation reference"/>
    <w:basedOn w:val="DefaultParagraphFont"/>
    <w:uiPriority w:val="99"/>
    <w:semiHidden/>
    <w:unhideWhenUsed/>
    <w:qFormat/>
    <w:rsid w:val="00dc1c05"/>
    <w:rPr>
      <w:sz w:val="16"/>
      <w:szCs w:val="16"/>
    </w:rPr>
  </w:style>
  <w:style w:type="character" w:styleId="TekstkomentarzaZnak" w:customStyle="1">
    <w:name w:val="Tekst komentarza Znak"/>
    <w:basedOn w:val="DefaultParagraphFont"/>
    <w:link w:val="Annotationtext"/>
    <w:uiPriority w:val="99"/>
    <w:semiHidden/>
    <w:qFormat/>
    <w:rsid w:val="00dc1c05"/>
    <w:rPr>
      <w:sz w:val="20"/>
      <w:szCs w:val="20"/>
    </w:rPr>
  </w:style>
  <w:style w:type="character" w:styleId="TematkomentarzaZnak" w:customStyle="1">
    <w:name w:val="Temat komentarza Znak"/>
    <w:basedOn w:val="TekstkomentarzaZnak"/>
    <w:link w:val="Annotationsubject"/>
    <w:uiPriority w:val="99"/>
    <w:semiHidden/>
    <w:qFormat/>
    <w:rsid w:val="00dc1c05"/>
    <w:rPr>
      <w:b/>
      <w:bCs/>
      <w:sz w:val="20"/>
      <w:szCs w:val="20"/>
    </w:rPr>
  </w:style>
  <w:style w:type="character" w:styleId="TekstdymkaZnak" w:customStyle="1">
    <w:name w:val="Tekst dymka Znak"/>
    <w:basedOn w:val="DefaultParagraphFont"/>
    <w:link w:val="BalloonText"/>
    <w:uiPriority w:val="99"/>
    <w:semiHidden/>
    <w:qFormat/>
    <w:rsid w:val="00dc1c05"/>
    <w:rPr>
      <w:rFonts w:ascii="Tahoma" w:hAnsi="Tahoma" w:cs="Tahoma"/>
      <w:sz w:val="16"/>
      <w:szCs w:val="16"/>
    </w:rPr>
  </w:style>
  <w:style w:type="character" w:styleId="Czeinternetowe">
    <w:name w:val="Łącze internetowe"/>
    <w:basedOn w:val="DefaultParagraphFont"/>
    <w:unhideWhenUsed/>
    <w:rsid w:val="00c4255b"/>
    <w:rPr>
      <w:color w:val="0000FF" w:themeColor="hyperlink"/>
      <w:u w:val="single"/>
    </w:rPr>
  </w:style>
  <w:style w:type="character" w:styleId="SWTEKSTZnak" w:customStyle="1">
    <w:name w:val="SW TEKST Znak"/>
    <w:link w:val="SWTEKST"/>
    <w:uiPriority w:val="99"/>
    <w:qFormat/>
    <w:locked/>
    <w:rsid w:val="00c4255b"/>
    <w:rPr>
      <w:rFonts w:ascii="Tahoma" w:hAnsi="Tahoma" w:eastAsia="Calibri" w:cs="Times New Roman"/>
      <w:sz w:val="24"/>
      <w:szCs w:val="24"/>
      <w:lang w:val="x-none" w:eastAsia="pl-PL"/>
    </w:rPr>
  </w:style>
  <w:style w:type="character" w:styleId="TekstprzypisukocowegoZnak" w:customStyle="1">
    <w:name w:val="Tekst przypisu końcowego Znak"/>
    <w:basedOn w:val="DefaultParagraphFont"/>
    <w:uiPriority w:val="99"/>
    <w:semiHidden/>
    <w:qFormat/>
    <w:rsid w:val="001f729d"/>
    <w:rPr>
      <w:rFonts w:ascii="Arial" w:hAnsi="Arial"/>
      <w:sz w:val="20"/>
      <w:szCs w:val="20"/>
    </w:rPr>
  </w:style>
  <w:style w:type="character" w:styleId="Znakiprzypiswkocowych">
    <w:name w:val="Znaki przypisów końcowych"/>
    <w:basedOn w:val="DefaultParagraphFont"/>
    <w:uiPriority w:val="99"/>
    <w:semiHidden/>
    <w:unhideWhenUsed/>
    <w:qFormat/>
    <w:rsid w:val="001f729d"/>
    <w:rPr>
      <w:vertAlign w:val="superscript"/>
    </w:rPr>
  </w:style>
  <w:style w:type="character" w:styleId="Zakotwiczenieprzypisukocowego">
    <w:name w:val="Zakotwiczenie przypisu końcowego"/>
    <w:rPr>
      <w:vertAlign w:val="superscript"/>
    </w:rPr>
  </w:style>
  <w:style w:type="character" w:styleId="EndnoteCharacters">
    <w:name w:val="Endnote Characters"/>
    <w:qFormat/>
    <w:rPr>
      <w:vertAlign w:val="superscript"/>
    </w:rPr>
  </w:style>
  <w:style w:type="character" w:styleId="Nierozpoznanawzmianka1" w:customStyle="1">
    <w:name w:val="Nierozpoznana wzmianka1"/>
    <w:basedOn w:val="DefaultParagraphFont"/>
    <w:uiPriority w:val="99"/>
    <w:semiHidden/>
    <w:unhideWhenUsed/>
    <w:qFormat/>
    <w:rsid w:val="001031cc"/>
    <w:rPr>
      <w:color w:val="605E5C"/>
      <w:shd w:fill="E1DFDD" w:val="clear"/>
    </w:rPr>
  </w:style>
  <w:style w:type="character" w:styleId="Nierozpoznanawzmianka2" w:customStyle="1">
    <w:name w:val="Nierozpoznana wzmianka2"/>
    <w:basedOn w:val="DefaultParagraphFont"/>
    <w:uiPriority w:val="99"/>
    <w:semiHidden/>
    <w:unhideWhenUsed/>
    <w:qFormat/>
    <w:rsid w:val="001f3e4f"/>
    <w:rPr>
      <w:color w:val="605E5C"/>
      <w:shd w:fill="E1DFDD" w:val="clear"/>
    </w:rPr>
  </w:style>
  <w:style w:type="character" w:styleId="NagwekZnak" w:customStyle="1">
    <w:name w:val="Nagłówek Znak"/>
    <w:basedOn w:val="DefaultParagraphFont"/>
    <w:uiPriority w:val="99"/>
    <w:qFormat/>
    <w:rsid w:val="000c14ab"/>
    <w:rPr>
      <w:rFonts w:ascii="Arial" w:hAnsi="Arial"/>
      <w:sz w:val="24"/>
    </w:rPr>
  </w:style>
  <w:style w:type="character" w:styleId="StopkaZnak" w:customStyle="1">
    <w:name w:val="Stopka Znak"/>
    <w:basedOn w:val="DefaultParagraphFont"/>
    <w:uiPriority w:val="99"/>
    <w:qFormat/>
    <w:rsid w:val="000c14ab"/>
    <w:rPr>
      <w:rFonts w:ascii="Arial" w:hAnsi="Arial"/>
      <w:sz w:val="24"/>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Annotationtext">
    <w:name w:val="annotation text"/>
    <w:basedOn w:val="Normal"/>
    <w:link w:val="TekstkomentarzaZnak"/>
    <w:uiPriority w:val="99"/>
    <w:semiHidden/>
    <w:unhideWhenUsed/>
    <w:qFormat/>
    <w:rsid w:val="00dc1c05"/>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dc1c05"/>
    <w:pPr/>
    <w:rPr>
      <w:b/>
      <w:bCs/>
    </w:rPr>
  </w:style>
  <w:style w:type="paragraph" w:styleId="BalloonText">
    <w:name w:val="Balloon Text"/>
    <w:basedOn w:val="Normal"/>
    <w:link w:val="TekstdymkaZnak"/>
    <w:uiPriority w:val="99"/>
    <w:semiHidden/>
    <w:unhideWhenUsed/>
    <w:qFormat/>
    <w:rsid w:val="00dc1c05"/>
    <w:pPr>
      <w:spacing w:lineRule="auto" w:line="240" w:before="0" w:after="0"/>
    </w:pPr>
    <w:rPr>
      <w:rFonts w:ascii="Tahoma" w:hAnsi="Tahoma" w:cs="Tahoma"/>
      <w:sz w:val="16"/>
      <w:szCs w:val="16"/>
    </w:rPr>
  </w:style>
  <w:style w:type="paragraph" w:styleId="ListParagraph">
    <w:name w:val="List Paragraph"/>
    <w:basedOn w:val="Normal"/>
    <w:uiPriority w:val="34"/>
    <w:qFormat/>
    <w:rsid w:val="00dc1c05"/>
    <w:pPr>
      <w:spacing w:before="0" w:after="200"/>
      <w:ind w:left="720" w:hanging="0"/>
      <w:contextualSpacing/>
    </w:pPr>
    <w:rPr/>
  </w:style>
  <w:style w:type="paragraph" w:styleId="Tytuaktu" w:customStyle="1">
    <w:name w:val="Tytuł aktu"/>
    <w:qFormat/>
    <w:rsid w:val="00c4255b"/>
    <w:pPr>
      <w:widowControl/>
      <w:numPr>
        <w:ilvl w:val="0"/>
        <w:numId w:val="1"/>
      </w:numPr>
      <w:suppressAutoHyphens w:val="true"/>
      <w:bidi w:val="0"/>
      <w:spacing w:lineRule="auto" w:line="240" w:before="0" w:after="120"/>
      <w:jc w:val="center"/>
    </w:pPr>
    <w:rPr>
      <w:rFonts w:ascii="Times New Roman" w:hAnsi="Times New Roman" w:eastAsia="Times New Roman" w:cs="Times New Roman"/>
      <w:b/>
      <w:caps/>
      <w:color w:val="auto"/>
      <w:kern w:val="0"/>
      <w:sz w:val="24"/>
      <w:szCs w:val="20"/>
      <w:lang w:val="pl-PL" w:eastAsia="pl-PL" w:bidi="ar-SA"/>
    </w:rPr>
  </w:style>
  <w:style w:type="paragraph" w:styleId="Paragraf" w:customStyle="1">
    <w:name w:val="paragraf"/>
    <w:basedOn w:val="Normal"/>
    <w:qFormat/>
    <w:rsid w:val="00c4255b"/>
    <w:pPr>
      <w:numPr>
        <w:ilvl w:val="3"/>
        <w:numId w:val="1"/>
      </w:numPr>
      <w:spacing w:lineRule="auto" w:line="240" w:before="80" w:after="240"/>
    </w:pPr>
    <w:rPr>
      <w:rFonts w:ascii="Times New Roman" w:hAnsi="Times New Roman" w:eastAsia="Times New Roman" w:cs="Times New Roman"/>
      <w:szCs w:val="20"/>
      <w:lang w:eastAsia="pl-PL"/>
    </w:rPr>
  </w:style>
  <w:style w:type="paragraph" w:styleId="Ust" w:customStyle="1">
    <w:name w:val="ust."/>
    <w:autoRedefine/>
    <w:qFormat/>
    <w:rsid w:val="00c4255b"/>
    <w:pPr>
      <w:widowControl/>
      <w:numPr>
        <w:ilvl w:val="4"/>
        <w:numId w:val="1"/>
      </w:numPr>
      <w:suppressAutoHyphens w:val="true"/>
      <w:bidi w:val="0"/>
      <w:spacing w:lineRule="auto" w:line="240" w:before="0" w:after="160"/>
      <w:jc w:val="both"/>
    </w:pPr>
    <w:rPr>
      <w:rFonts w:ascii="Times New Roman" w:hAnsi="Times New Roman" w:eastAsia="Times New Roman" w:cs="Times New Roman"/>
      <w:color w:val="auto"/>
      <w:kern w:val="0"/>
      <w:sz w:val="24"/>
      <w:szCs w:val="20"/>
      <w:lang w:val="pl-PL" w:eastAsia="pl-PL" w:bidi="ar-SA"/>
    </w:rPr>
  </w:style>
  <w:style w:type="paragraph" w:styleId="Pkt" w:customStyle="1">
    <w:name w:val="pkt"/>
    <w:autoRedefine/>
    <w:qFormat/>
    <w:rsid w:val="00c4255b"/>
    <w:pPr>
      <w:widowControl/>
      <w:numPr>
        <w:ilvl w:val="5"/>
        <w:numId w:val="1"/>
      </w:numPr>
      <w:suppressAutoHyphens w:val="true"/>
      <w:bidi w:val="0"/>
      <w:spacing w:lineRule="auto" w:line="240" w:before="0" w:after="160"/>
      <w:jc w:val="both"/>
    </w:pPr>
    <w:rPr>
      <w:rFonts w:ascii="Times New Roman" w:hAnsi="Times New Roman" w:eastAsia="Times New Roman" w:cs="Times New Roman"/>
      <w:color w:val="auto"/>
      <w:kern w:val="0"/>
      <w:sz w:val="24"/>
      <w:szCs w:val="20"/>
      <w:lang w:val="pl-PL" w:eastAsia="pl-PL" w:bidi="ar-SA"/>
    </w:rPr>
  </w:style>
  <w:style w:type="paragraph" w:styleId="Lit" w:customStyle="1">
    <w:name w:val="lit"/>
    <w:qFormat/>
    <w:rsid w:val="00c4255b"/>
    <w:pPr>
      <w:widowControl/>
      <w:numPr>
        <w:ilvl w:val="6"/>
        <w:numId w:val="1"/>
      </w:numPr>
      <w:suppressAutoHyphens w:val="true"/>
      <w:bidi w:val="0"/>
      <w:spacing w:lineRule="auto" w:line="240" w:before="0" w:after="120"/>
      <w:jc w:val="both"/>
    </w:pPr>
    <w:rPr>
      <w:rFonts w:ascii="Times New Roman" w:hAnsi="Times New Roman" w:eastAsia="Times New Roman" w:cs="Times New Roman"/>
      <w:color w:val="auto"/>
      <w:kern w:val="0"/>
      <w:sz w:val="24"/>
      <w:szCs w:val="20"/>
      <w:lang w:val="pl-PL" w:eastAsia="pl-PL" w:bidi="ar-SA"/>
    </w:rPr>
  </w:style>
  <w:style w:type="paragraph" w:styleId="Tiret" w:customStyle="1">
    <w:name w:val="tiret"/>
    <w:qFormat/>
    <w:rsid w:val="00c4255b"/>
    <w:pPr>
      <w:widowControl/>
      <w:numPr>
        <w:ilvl w:val="7"/>
        <w:numId w:val="1"/>
      </w:numPr>
      <w:suppressAutoHyphens w:val="true"/>
      <w:bidi w:val="0"/>
      <w:spacing w:lineRule="auto" w:line="240" w:before="0" w:after="80"/>
      <w:jc w:val="both"/>
    </w:pPr>
    <w:rPr>
      <w:rFonts w:ascii="Times New Roman" w:hAnsi="Times New Roman" w:eastAsia="Times New Roman" w:cs="Times New Roman"/>
      <w:color w:val="auto"/>
      <w:kern w:val="0"/>
      <w:sz w:val="24"/>
      <w:szCs w:val="20"/>
      <w:lang w:val="pl-PL" w:eastAsia="pl-PL" w:bidi="ar-SA"/>
    </w:rPr>
  </w:style>
  <w:style w:type="paragraph" w:styleId="Za" w:customStyle="1">
    <w:name w:val="zał"/>
    <w:basedOn w:val="Nagwek1"/>
    <w:autoRedefine/>
    <w:qFormat/>
    <w:rsid w:val="00c4255b"/>
    <w:pPr>
      <w:keepNext w:val="true"/>
      <w:numPr>
        <w:ilvl w:val="1"/>
        <w:numId w:val="1"/>
      </w:numPr>
      <w:tabs>
        <w:tab w:val="clear" w:pos="708"/>
        <w:tab w:val="left" w:pos="360" w:leader="none"/>
      </w:tabs>
      <w:spacing w:beforeAutospacing="0" w:before="0" w:afterAutospacing="0" w:after="120"/>
      <w:ind w:left="0" w:hanging="0"/>
      <w:jc w:val="right"/>
    </w:pPr>
    <w:rPr>
      <w:bCs w:val="false"/>
      <w:kern w:val="0"/>
      <w:sz w:val="24"/>
      <w:szCs w:val="20"/>
    </w:rPr>
  </w:style>
  <w:style w:type="paragraph" w:styleId="Za1" w:customStyle="1">
    <w:name w:val="zał_1"/>
    <w:basedOn w:val="Za"/>
    <w:autoRedefine/>
    <w:qFormat/>
    <w:rsid w:val="00c4255b"/>
    <w:pPr/>
    <w:rPr>
      <w:b w:val="false"/>
    </w:rPr>
  </w:style>
  <w:style w:type="paragraph" w:styleId="SWTEKST" w:customStyle="1">
    <w:name w:val="SW TEKST"/>
    <w:basedOn w:val="Normal"/>
    <w:link w:val="SWTEKSTZnak"/>
    <w:uiPriority w:val="99"/>
    <w:qFormat/>
    <w:rsid w:val="00c4255b"/>
    <w:pPr>
      <w:spacing w:lineRule="auto" w:line="240" w:before="60" w:after="60"/>
      <w:ind w:firstLine="794"/>
    </w:pPr>
    <w:rPr>
      <w:rFonts w:ascii="Tahoma" w:hAnsi="Tahoma" w:eastAsia="Calibri" w:cs="Times New Roman"/>
      <w:szCs w:val="24"/>
      <w:lang w:val="x-none" w:eastAsia="pl-PL"/>
    </w:rPr>
  </w:style>
  <w:style w:type="paragraph" w:styleId="Default" w:customStyle="1">
    <w:name w:val="Default"/>
    <w:qFormat/>
    <w:rsid w:val="005a1e2a"/>
    <w:pPr>
      <w:widowControl/>
      <w:suppressAutoHyphens w:val="true"/>
      <w:bidi w:val="0"/>
      <w:spacing w:lineRule="auto" w:line="240" w:before="0" w:after="0"/>
      <w:jc w:val="left"/>
    </w:pPr>
    <w:rPr>
      <w:rFonts w:ascii="Calibri" w:hAnsi="Calibri" w:eastAsia="Calibri Light" w:cs="Calibri"/>
      <w:color w:val="000000"/>
      <w:kern w:val="0"/>
      <w:sz w:val="24"/>
      <w:szCs w:val="24"/>
      <w:lang w:val="pl-PL" w:eastAsia="zh-CN" w:bidi="ar-SA"/>
    </w:rPr>
  </w:style>
  <w:style w:type="paragraph" w:styleId="Przypiskocowy">
    <w:name w:val="Endnote Text"/>
    <w:basedOn w:val="Normal"/>
    <w:link w:val="TekstprzypisukocowegoZnak"/>
    <w:uiPriority w:val="99"/>
    <w:semiHidden/>
    <w:unhideWhenUsed/>
    <w:rsid w:val="001f729d"/>
    <w:pPr>
      <w:spacing w:lineRule="auto" w:line="240" w:before="0" w:after="0"/>
    </w:pPr>
    <w:rPr>
      <w:sz w:val="20"/>
      <w:szCs w:val="20"/>
    </w:rPr>
  </w:style>
  <w:style w:type="paragraph" w:styleId="Gwkaistopka">
    <w:name w:val="Główka i stopka"/>
    <w:basedOn w:val="Normal"/>
    <w:qFormat/>
    <w:pPr/>
    <w:rPr/>
  </w:style>
  <w:style w:type="paragraph" w:styleId="Gwka">
    <w:name w:val="Header"/>
    <w:basedOn w:val="Normal"/>
    <w:link w:val="NagwekZnak"/>
    <w:uiPriority w:val="99"/>
    <w:unhideWhenUsed/>
    <w:rsid w:val="000c14ab"/>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0c14ab"/>
    <w:pPr>
      <w:tabs>
        <w:tab w:val="clear" w:pos="708"/>
        <w:tab w:val="center" w:pos="4536" w:leader="none"/>
        <w:tab w:val="right" w:pos="9072" w:leader="none"/>
      </w:tabs>
      <w:spacing w:lineRule="auto" w:line="240" w:before="0" w:after="0"/>
    </w:pPr>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0a260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7C34E-5A90-492C-AFF4-107BB2F42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LibreOffice/7.3.2.2$Windows_X86_64 LibreOffice_project/49f2b1bff42cfccbd8f788c8dc32c1c309559be0</Application>
  <AppVersion>15.0000</AppVersion>
  <Pages>2</Pages>
  <Words>518</Words>
  <Characters>3503</Characters>
  <CharactersWithSpaces>3987</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2024-11-04T06:17:00Z</dcterms:created>
  <dc:creator>eurocompass</dc:creator>
  <dc:description/>
  <dc:language>pl-PL</dc:language>
  <cp:lastModifiedBy/>
  <cp:lastPrinted>2022-08-24T06:07:00Z</cp:lastPrinted>
  <dcterms:modified xsi:type="dcterms:W3CDTF">2025-02-05T11:18:30Z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