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Regulamin Konkursu Kulinarnego „Pierogowy Zawrót Głowy”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§1. POSTANOWIENIA OGÓLNE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Konkurs kulinarny pod nazwą „Pierogowy zawrót głowy” (dalej: „Konkurs”) organizowany jest w celu kultywowania tradycji kulinarnych oraz integracji środowisk lokalnych.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Organizatorem Konkursu jest: Komitet Olimpiady Sołectw i Osiedli.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Konkurs przeznaczony jest dla Kół Gospodyń Wiejskich (KGW) z terenu gminy Koluszki.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§2. CEL KONKURSU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Celem Konkursu jest: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Promowanie i popularyzacja tradycyjnych oraz nowatorskich form przyrządzania pierogów.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Wymiana doświadczeń kulinarnych pomiędzy KGW.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Integracja społeczności lokalnej.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§3. ZASADY UCZESTNICTWA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W Konkursie mogą brać udział wyłącznie zarejestrowane Koła Gospodyń Wiejskich.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Każde KGW może zgłosić jedną potrawę konkursową – pierogi w dowolnej formie (tradycyjnej lub nowoczesnej, słodkiej lub wytrawnej).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Pierogi mogą zostać przygotowane wcześniej, jednak muszą być gotowe do podgrzania i podania na miejscu w ilości co najmniej 6 porcji degustacyjnych.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Organizator zapewnia: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zastawę stołową (talerzyki, sztućce, serwetki),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miejsce do pracy dla każdego Koła.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5.</w:t>
        <w:tab/>
        <w:t xml:space="preserve">Obowiązkiem uczestników jest: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zapewnienie urządzeń do podgrzania potrawy wedle swoich wymagań  (np. kuchenka indukcyjna, piecyk, warnik itp.),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przygotowanie potrawy zgodnie z zasadami higieny i bezpieczeństwa żywności.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§4. OCENA I JURY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Skład Jury pozostaje tajny do momentu rozpoczęcia Konkursu.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Jury zostanie ogłoszone w dniu Konkursu przed rozpoczęciem degustacji.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Potrawy będą oceniane według następujących kryteriów: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smak,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estetyka podania,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pomysłowość/oryginalność receptury,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zgodność z tematyką Konkursu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(pierogi w dowolnej formie).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Decyzja Jury jest ostateczna i niepodważalna.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§5. NAGRODY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Dla zdobywców I, II oraz III miejsca przewidziano nagrody rzeczowe ufundowane przez sponsorów.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Rodzaj i wartość nagród zostaną ogłoszone w dniu Konkursu.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§6. TERMINY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Konkurs odbędzie się w dniu: 13.09.2025, w Będzelinie. Godzina rozpoczęcia kknkursu zostanie podana w późniejszym terminie.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Zgłoszenia należy przesyłać do dnia: 31.08.2025 na adres: d.kolasa@o2.pl i telefonicznie pod numerem: 533-479-947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§7. POSTANOWIENIA KOŃCOWE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Udział w Konkursie jest równoznaczny z akceptacją niniejszego Regulaminu.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Organizator zastrzega sobie prawo do zmian w Regulaminie, o których uczestnicy zostaną poinformowani przed rozpoczęciem Konkursu.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Wszelkie kwestie nieuregulowane w niniejszym Regulaminie rozstrzyga Organizator.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