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5BC28AE1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09 </w:t>
            </w:r>
            <w:r w:rsidR="00661107">
              <w:rPr>
                <w:rFonts w:ascii="Arial" w:eastAsia="Arial Unicode MS" w:hAnsi="Arial" w:cs="Arial"/>
                <w:bCs/>
                <w:kern w:val="3"/>
              </w:rPr>
              <w:t>grudni</w:t>
            </w:r>
            <w:r w:rsidR="00D914B5">
              <w:rPr>
                <w:rFonts w:ascii="Arial" w:eastAsia="Arial Unicode MS" w:hAnsi="Arial" w:cs="Arial"/>
                <w:bCs/>
                <w:kern w:val="3"/>
              </w:rPr>
              <w:t>a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2022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2A6A8A24" w:rsidR="00550D71" w:rsidRPr="009E5E43" w:rsidRDefault="00AA1685" w:rsidP="00D914B5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20.3.2022.JK.2</w:t>
            </w:r>
            <w:r w:rsidR="00260115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055519C6" w14:textId="725C09E4" w:rsidR="005B382D" w:rsidRPr="002F30E6" w:rsidRDefault="005B382D" w:rsidP="005B382D">
      <w:pPr>
        <w:spacing w:line="240" w:lineRule="auto"/>
        <w:ind w:firstLine="708"/>
        <w:jc w:val="both"/>
        <w:rPr>
          <w:rFonts w:ascii="Arial" w:hAnsi="Arial" w:cs="Arial"/>
          <w:color w:val="000000"/>
          <w:kern w:val="1"/>
          <w:lang w:eastAsia="ar-SA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2000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1029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Pr="00F30EC5">
        <w:rPr>
          <w:rStyle w:val="Domylnaczcionkaakapitu1"/>
          <w:rFonts w:ascii="Arial" w:hAnsi="Arial" w:cs="Arial"/>
        </w:rPr>
        <w:t xml:space="preserve"> zgłoszeniu</w:t>
      </w:r>
      <w:r>
        <w:rPr>
          <w:rStyle w:val="Domylnaczcionkaakapitu1"/>
          <w:rFonts w:ascii="Arial" w:hAnsi="Arial" w:cs="Arial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przez </w:t>
      </w:r>
      <w:r w:rsidR="004812A9">
        <w:rPr>
          <w:rFonts w:ascii="Arial" w:hAnsi="Arial" w:cs="Arial"/>
          <w:bCs/>
          <w:kern w:val="3"/>
        </w:rPr>
        <w:t xml:space="preserve">Pana Radosława Ślusarczyka, działającego </w:t>
      </w:r>
      <w:r w:rsidR="003C2FDB">
        <w:rPr>
          <w:rFonts w:ascii="Arial" w:hAnsi="Arial" w:cs="Arial"/>
          <w:bCs/>
          <w:kern w:val="3"/>
        </w:rPr>
        <w:t xml:space="preserve">w </w:t>
      </w:r>
      <w:r w:rsidR="004812A9">
        <w:rPr>
          <w:rFonts w:ascii="Arial" w:hAnsi="Arial" w:cs="Arial"/>
          <w:bCs/>
          <w:kern w:val="3"/>
        </w:rPr>
        <w:t>imieniu</w:t>
      </w:r>
      <w:r w:rsidRPr="00F30EC5">
        <w:rPr>
          <w:rFonts w:ascii="Arial" w:hAnsi="Arial" w:cs="Arial"/>
        </w:rPr>
        <w:t xml:space="preserve"> </w:t>
      </w:r>
      <w:r w:rsidRPr="00F17E92">
        <w:rPr>
          <w:rFonts w:ascii="Arial" w:hAnsi="Arial" w:cs="Arial"/>
        </w:rPr>
        <w:t>Stowarzyszeni</w:t>
      </w:r>
      <w:r w:rsidR="004812A9">
        <w:rPr>
          <w:rFonts w:ascii="Arial" w:hAnsi="Arial" w:cs="Arial"/>
        </w:rPr>
        <w:t>a</w:t>
      </w:r>
      <w:r w:rsidRPr="00F17E92">
        <w:rPr>
          <w:rFonts w:ascii="Arial" w:hAnsi="Arial" w:cs="Arial"/>
        </w:rPr>
        <w:t xml:space="preserve"> Pracownia na rzecz </w:t>
      </w:r>
      <w:r w:rsidR="004812A9">
        <w:rPr>
          <w:rFonts w:ascii="Arial" w:hAnsi="Arial" w:cs="Arial"/>
        </w:rPr>
        <w:t>W</w:t>
      </w:r>
      <w:r w:rsidRPr="00F17E92">
        <w:rPr>
          <w:rFonts w:ascii="Arial" w:hAnsi="Arial" w:cs="Arial"/>
        </w:rPr>
        <w:t>szystkich Istot</w:t>
      </w:r>
      <w:r>
        <w:rPr>
          <w:rFonts w:ascii="Arial" w:hAnsi="Arial" w:cs="Arial"/>
        </w:rPr>
        <w:t xml:space="preserve">, ul. Jasna 17, </w:t>
      </w:r>
      <w:r w:rsidR="00072D8A">
        <w:rPr>
          <w:rFonts w:ascii="Arial" w:hAnsi="Arial" w:cs="Arial"/>
        </w:rPr>
        <w:br/>
      </w:r>
      <w:r>
        <w:rPr>
          <w:rFonts w:ascii="Arial" w:hAnsi="Arial" w:cs="Arial"/>
        </w:rPr>
        <w:t>43-360 Bystra,</w:t>
      </w:r>
      <w:r w:rsidRPr="00F17E92">
        <w:rPr>
          <w:rFonts w:ascii="Arial" w:hAnsi="Arial" w:cs="Arial"/>
          <w:bCs/>
          <w:kern w:val="3"/>
        </w:rPr>
        <w:t xml:space="preserve"> pismem z dnia 29 listopada 2022 r. </w:t>
      </w:r>
      <w:r w:rsidRPr="00F30EC5">
        <w:rPr>
          <w:rFonts w:ascii="Arial" w:hAnsi="Arial" w:cs="Arial"/>
          <w:bCs/>
          <w:kern w:val="3"/>
        </w:rPr>
        <w:t xml:space="preserve">chęci uczestnictwa w przedmiotowym postępowaniu na prawach strony. Zgodnie z art. 44 ust. 1 </w:t>
      </w:r>
      <w:r>
        <w:rPr>
          <w:rFonts w:ascii="Arial" w:hAnsi="Arial" w:cs="Arial"/>
        </w:rPr>
        <w:t>uooś</w:t>
      </w:r>
      <w:r w:rsidRPr="00F30EC5">
        <w:rPr>
          <w:rFonts w:ascii="Arial" w:hAnsi="Arial" w:cs="Arial"/>
        </w:rPr>
        <w:t xml:space="preserve"> </w:t>
      </w:r>
      <w:r w:rsidR="00157289" w:rsidRPr="00F17E92">
        <w:rPr>
          <w:rFonts w:ascii="Arial" w:hAnsi="Arial" w:cs="Arial"/>
        </w:rPr>
        <w:t xml:space="preserve">Stowarzyszenie Pracownia na rzecz </w:t>
      </w:r>
      <w:r w:rsidR="00A239BD">
        <w:rPr>
          <w:rFonts w:ascii="Arial" w:hAnsi="Arial" w:cs="Arial"/>
        </w:rPr>
        <w:t>W</w:t>
      </w:r>
      <w:r w:rsidR="00157289" w:rsidRPr="00F17E92">
        <w:rPr>
          <w:rFonts w:ascii="Arial" w:hAnsi="Arial" w:cs="Arial"/>
        </w:rPr>
        <w:t>szystkich Istot</w:t>
      </w:r>
      <w:r w:rsidR="00157289" w:rsidRPr="00F30EC5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>przystąpił</w:t>
      </w:r>
      <w:r w:rsidR="00157289">
        <w:rPr>
          <w:rFonts w:ascii="Arial" w:hAnsi="Arial" w:cs="Arial"/>
          <w:bCs/>
          <w:kern w:val="3"/>
        </w:rPr>
        <w:t>o</w:t>
      </w:r>
      <w:r w:rsidRPr="00F30EC5">
        <w:rPr>
          <w:rFonts w:ascii="Arial" w:hAnsi="Arial" w:cs="Arial"/>
          <w:bCs/>
          <w:kern w:val="3"/>
        </w:rPr>
        <w:t xml:space="preserve"> do udziału w przedmiotowym postępowaniu na prawach strony.</w:t>
      </w:r>
    </w:p>
    <w:p w14:paraId="4F0F1473" w14:textId="77777777" w:rsidR="005B382D" w:rsidRPr="00455A60" w:rsidRDefault="005B382D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sz w:val="16"/>
          <w:szCs w:val="16"/>
        </w:rPr>
      </w:pPr>
    </w:p>
    <w:p w14:paraId="74D63E38" w14:textId="145F721A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5B382D">
        <w:rPr>
          <w:rFonts w:ascii="Arial" w:eastAsia="Times New Roman" w:hAnsi="Arial" w:cs="Arial"/>
        </w:rPr>
        <w:t>15</w:t>
      </w:r>
      <w:r w:rsidR="00170BB8">
        <w:rPr>
          <w:rFonts w:ascii="Arial" w:eastAsia="Times New Roman" w:hAnsi="Arial" w:cs="Arial"/>
        </w:rPr>
        <w:t xml:space="preserve"> grudnia</w:t>
      </w:r>
      <w:r w:rsidR="00FB29C8" w:rsidRPr="005C4D43">
        <w:rPr>
          <w:rFonts w:ascii="Arial" w:eastAsia="Times New Roman" w:hAnsi="Arial" w:cs="Arial"/>
        </w:rPr>
        <w:t xml:space="preserve"> 2022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5B382D">
        <w:rPr>
          <w:rFonts w:ascii="Arial" w:eastAsia="Times New Roman" w:hAnsi="Arial" w:cs="Arial"/>
        </w:rPr>
        <w:t>28</w:t>
      </w:r>
      <w:r w:rsidR="00FB29C8" w:rsidRPr="005C4D43">
        <w:rPr>
          <w:rFonts w:ascii="Arial" w:eastAsia="Times New Roman" w:hAnsi="Arial" w:cs="Arial"/>
        </w:rPr>
        <w:t xml:space="preserve"> </w:t>
      </w:r>
      <w:r w:rsidR="00832E86">
        <w:rPr>
          <w:rFonts w:ascii="Arial" w:eastAsia="Times New Roman" w:hAnsi="Arial" w:cs="Arial"/>
        </w:rPr>
        <w:t>grudnia</w:t>
      </w:r>
      <w:r w:rsidR="00FB29C8" w:rsidRPr="005C4D43">
        <w:rPr>
          <w:rFonts w:ascii="Arial" w:eastAsia="Times New Roman" w:hAnsi="Arial" w:cs="Arial"/>
        </w:rPr>
        <w:t xml:space="preserve"> 2022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1" w:name="_Hlk486927872"/>
    </w:p>
    <w:bookmarkEnd w:id="1"/>
    <w:p w14:paraId="5156C230" w14:textId="77777777" w:rsidR="00072D8A" w:rsidRPr="002856FA" w:rsidRDefault="00072D8A" w:rsidP="00072D8A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08648D39" w14:textId="77777777" w:rsidR="00072D8A" w:rsidRPr="002856FA" w:rsidRDefault="00072D8A" w:rsidP="00072D8A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48A78C2" w14:textId="77777777" w:rsidR="00072D8A" w:rsidRPr="002856FA" w:rsidRDefault="00072D8A" w:rsidP="00072D8A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1F477508" w14:textId="77777777" w:rsidR="00072D8A" w:rsidRPr="002856FA" w:rsidRDefault="00072D8A" w:rsidP="00072D8A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1361837C" w14:textId="77777777" w:rsidR="00072D8A" w:rsidRPr="002856FA" w:rsidRDefault="00072D8A" w:rsidP="00072D8A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78F5DC2E" w14:textId="795AE913" w:rsidR="003C2FDB" w:rsidRDefault="003C2FD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63BC78B8" w14:textId="6618C55A" w:rsidR="003C2FDB" w:rsidRDefault="003C2FD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6D04945C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06DD06B1" w14:textId="77777777" w:rsidR="005B382D" w:rsidRDefault="005C4D43" w:rsidP="005B382D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2B8C2C" w14:textId="4E4FBDB4" w:rsidR="005B382D" w:rsidRPr="005B382D" w:rsidRDefault="005B382D" w:rsidP="005B382D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5B382D">
        <w:rPr>
          <w:rFonts w:ascii="Arial" w:hAnsi="Arial" w:cs="Arial"/>
          <w:sz w:val="18"/>
          <w:szCs w:val="18"/>
        </w:rPr>
        <w:t xml:space="preserve">Stowarzyszenie Pracownia na rzecz </w:t>
      </w:r>
      <w:r w:rsidR="00A239BD">
        <w:rPr>
          <w:rFonts w:ascii="Arial" w:hAnsi="Arial" w:cs="Arial"/>
          <w:sz w:val="18"/>
          <w:szCs w:val="18"/>
        </w:rPr>
        <w:t>W</w:t>
      </w:r>
      <w:r w:rsidRPr="005B382D">
        <w:rPr>
          <w:rFonts w:ascii="Arial" w:hAnsi="Arial" w:cs="Arial"/>
          <w:sz w:val="18"/>
          <w:szCs w:val="18"/>
        </w:rPr>
        <w:t>szystkich Istot, ul. Jasna 17, 43-360 Bystra</w:t>
      </w:r>
    </w:p>
    <w:p w14:paraId="7A4E575C" w14:textId="77777777" w:rsidR="00F46C9A" w:rsidRPr="00F46C9A" w:rsidRDefault="00F46C9A" w:rsidP="00F46C9A">
      <w:pPr>
        <w:widowControl w:val="0"/>
        <w:autoSpaceDN w:val="0"/>
        <w:spacing w:after="0" w:line="100" w:lineRule="atLeast"/>
        <w:ind w:left="36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0BADA8B9" w:rsidR="00805F30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758853B9" w14:textId="6D6609FE" w:rsidR="00E479C8" w:rsidRPr="00E479C8" w:rsidRDefault="00CD77ED" w:rsidP="00E479C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44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uooś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„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 Przepisu </w:t>
      </w:r>
      <w:hyperlink r:id="rId8" w:anchor="/document/16784712?unitId=art(31)par(4)&amp;cm=DOCUMENT" w:history="1">
        <w:r w:rsidR="00E479C8" w:rsidRPr="00E479C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art. 31 § 4</w:t>
        </w:r>
      </w:hyperlink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 Kodeksu postępowania administracyjnego nie stosuje się</w:t>
      </w:r>
      <w:r w:rsidR="00E479C8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1F6C30" w14:textId="313891D3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49833740" w:rsidR="000B7FC2" w:rsidRPr="001C113B" w:rsidRDefault="004F54E4" w:rsidP="00E47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A1C0" w14:textId="77777777" w:rsidR="0070462C" w:rsidRDefault="0070462C" w:rsidP="00DA7D2C">
      <w:pPr>
        <w:spacing w:after="0" w:line="240" w:lineRule="auto"/>
      </w:pPr>
      <w:r>
        <w:separator/>
      </w:r>
    </w:p>
  </w:endnote>
  <w:endnote w:type="continuationSeparator" w:id="0">
    <w:p w14:paraId="68D1E607" w14:textId="77777777" w:rsidR="0070462C" w:rsidRDefault="0070462C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BF13" w14:textId="264D9F15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E479C8">
      <w:rPr>
        <w:rFonts w:ascii="Arial" w:eastAsia="Calibri" w:hAnsi="Arial" w:cs="Arial"/>
        <w:sz w:val="18"/>
        <w:szCs w:val="18"/>
        <w:lang w:eastAsia="en-US"/>
      </w:rPr>
      <w:t>2</w:t>
    </w:r>
    <w:r w:rsidR="00EC5FD8">
      <w:rPr>
        <w:rFonts w:ascii="Arial" w:eastAsia="Calibri" w:hAnsi="Arial" w:cs="Arial"/>
        <w:sz w:val="18"/>
        <w:szCs w:val="18"/>
        <w:lang w:eastAsia="en-US"/>
      </w:rPr>
      <w:t>4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072D8A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5520" w14:textId="77777777" w:rsidR="0070462C" w:rsidRDefault="0070462C" w:rsidP="00DA7D2C">
      <w:pPr>
        <w:spacing w:after="0" w:line="240" w:lineRule="auto"/>
      </w:pPr>
      <w:r>
        <w:separator/>
      </w:r>
    </w:p>
  </w:footnote>
  <w:footnote w:type="continuationSeparator" w:id="0">
    <w:p w14:paraId="17FDF7AD" w14:textId="77777777" w:rsidR="0070462C" w:rsidRDefault="0070462C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8386">
    <w:abstractNumId w:val="0"/>
  </w:num>
  <w:num w:numId="2" w16cid:durableId="265618701">
    <w:abstractNumId w:val="10"/>
  </w:num>
  <w:num w:numId="3" w16cid:durableId="1318651905">
    <w:abstractNumId w:val="1"/>
  </w:num>
  <w:num w:numId="4" w16cid:durableId="373972124">
    <w:abstractNumId w:val="12"/>
  </w:num>
  <w:num w:numId="5" w16cid:durableId="1015233895">
    <w:abstractNumId w:val="4"/>
  </w:num>
  <w:num w:numId="6" w16cid:durableId="1239680777">
    <w:abstractNumId w:val="13"/>
  </w:num>
  <w:num w:numId="7" w16cid:durableId="1082416262">
    <w:abstractNumId w:val="15"/>
  </w:num>
  <w:num w:numId="8" w16cid:durableId="1998728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455386">
    <w:abstractNumId w:val="9"/>
  </w:num>
  <w:num w:numId="10" w16cid:durableId="711536591">
    <w:abstractNumId w:val="3"/>
  </w:num>
  <w:num w:numId="11" w16cid:durableId="1717968361">
    <w:abstractNumId w:val="5"/>
  </w:num>
  <w:num w:numId="12" w16cid:durableId="1023047343">
    <w:abstractNumId w:val="2"/>
  </w:num>
  <w:num w:numId="13" w16cid:durableId="1587613235">
    <w:abstractNumId w:val="6"/>
  </w:num>
  <w:num w:numId="14" w16cid:durableId="875116679">
    <w:abstractNumId w:val="14"/>
  </w:num>
  <w:num w:numId="15" w16cid:durableId="1175340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9528891">
    <w:abstractNumId w:val="8"/>
  </w:num>
  <w:num w:numId="17" w16cid:durableId="99570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2C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102B0B"/>
    <w:rsid w:val="00112B8B"/>
    <w:rsid w:val="00114583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FE"/>
    <w:rsid w:val="0030623F"/>
    <w:rsid w:val="003261F0"/>
    <w:rsid w:val="00331A7B"/>
    <w:rsid w:val="00337DBF"/>
    <w:rsid w:val="0034471D"/>
    <w:rsid w:val="00354E03"/>
    <w:rsid w:val="0038572D"/>
    <w:rsid w:val="003C1692"/>
    <w:rsid w:val="003C2FDB"/>
    <w:rsid w:val="003E4E4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F1DB8"/>
    <w:rsid w:val="0070462C"/>
    <w:rsid w:val="00704EAE"/>
    <w:rsid w:val="00716BCA"/>
    <w:rsid w:val="00734FE4"/>
    <w:rsid w:val="00740EBF"/>
    <w:rsid w:val="00761299"/>
    <w:rsid w:val="007716F1"/>
    <w:rsid w:val="00787014"/>
    <w:rsid w:val="00791C6D"/>
    <w:rsid w:val="007E2554"/>
    <w:rsid w:val="008026A2"/>
    <w:rsid w:val="00805F30"/>
    <w:rsid w:val="0082119E"/>
    <w:rsid w:val="00832E86"/>
    <w:rsid w:val="00833433"/>
    <w:rsid w:val="00840AB1"/>
    <w:rsid w:val="00865C78"/>
    <w:rsid w:val="008A68E9"/>
    <w:rsid w:val="00904807"/>
    <w:rsid w:val="00913AB6"/>
    <w:rsid w:val="00955744"/>
    <w:rsid w:val="00982E5B"/>
    <w:rsid w:val="009A5AA6"/>
    <w:rsid w:val="009D10FC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DF4093"/>
    <w:rsid w:val="00E479C8"/>
    <w:rsid w:val="00E536B3"/>
    <w:rsid w:val="00E952E4"/>
    <w:rsid w:val="00EA5BF5"/>
    <w:rsid w:val="00EC5FD8"/>
    <w:rsid w:val="00ED3C94"/>
    <w:rsid w:val="00EF7045"/>
    <w:rsid w:val="00F3386B"/>
    <w:rsid w:val="00F46C9A"/>
    <w:rsid w:val="00F55060"/>
    <w:rsid w:val="00F608D6"/>
    <w:rsid w:val="00FB29C8"/>
    <w:rsid w:val="00FC6DFC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Aneta Tofil</cp:lastModifiedBy>
  <cp:revision>2</cp:revision>
  <cp:lastPrinted>2022-12-09T12:28:00Z</cp:lastPrinted>
  <dcterms:created xsi:type="dcterms:W3CDTF">2022-12-12T09:16:00Z</dcterms:created>
  <dcterms:modified xsi:type="dcterms:W3CDTF">2022-12-12T09:16:00Z</dcterms:modified>
</cp:coreProperties>
</file>