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3B37" w14:textId="77777777" w:rsidR="005926FA" w:rsidRPr="00FC2971" w:rsidRDefault="005926FA" w:rsidP="005926FA">
      <w:pPr>
        <w:pStyle w:val="Tekstpodstawowy3"/>
        <w:rPr>
          <w:rFonts w:ascii="Arial" w:hAnsi="Arial" w:cs="Arial"/>
          <w:sz w:val="18"/>
          <w:szCs w:val="18"/>
        </w:rPr>
      </w:pPr>
      <w:r w:rsidRPr="00FC2971">
        <w:rPr>
          <w:rFonts w:ascii="Arial" w:hAnsi="Arial" w:cs="Arial"/>
          <w:sz w:val="18"/>
          <w:szCs w:val="18"/>
        </w:rPr>
        <w:t>Wójt Gminy Pysznica</w:t>
      </w:r>
    </w:p>
    <w:p w14:paraId="41A7A252" w14:textId="7B86F6A0" w:rsidR="00333DAA" w:rsidRPr="00FC2971" w:rsidRDefault="00FC36F2" w:rsidP="005926FA">
      <w:pPr>
        <w:pStyle w:val="Tekstpodstawowy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83517E">
        <w:rPr>
          <w:rFonts w:ascii="Arial" w:hAnsi="Arial" w:cs="Arial"/>
          <w:sz w:val="18"/>
          <w:szCs w:val="18"/>
        </w:rPr>
        <w:t>g</w:t>
      </w:r>
      <w:r w:rsidR="005926FA" w:rsidRPr="00FC2971">
        <w:rPr>
          <w:rFonts w:ascii="Arial" w:hAnsi="Arial" w:cs="Arial"/>
          <w:sz w:val="18"/>
          <w:szCs w:val="18"/>
        </w:rPr>
        <w:t>łasza</w:t>
      </w:r>
      <w:r>
        <w:rPr>
          <w:rFonts w:ascii="Arial" w:hAnsi="Arial" w:cs="Arial"/>
          <w:sz w:val="18"/>
          <w:szCs w:val="18"/>
        </w:rPr>
        <w:t xml:space="preserve"> </w:t>
      </w:r>
      <w:r w:rsidR="00284001">
        <w:rPr>
          <w:rFonts w:ascii="Arial" w:hAnsi="Arial" w:cs="Arial"/>
          <w:sz w:val="18"/>
          <w:szCs w:val="18"/>
        </w:rPr>
        <w:t>V</w:t>
      </w:r>
      <w:r w:rsidR="005926FA" w:rsidRPr="00FC2971">
        <w:rPr>
          <w:rFonts w:ascii="Arial" w:hAnsi="Arial" w:cs="Arial"/>
          <w:sz w:val="18"/>
          <w:szCs w:val="18"/>
        </w:rPr>
        <w:t xml:space="preserve"> przetarg na sprzedaż nieruchomości stanowiących własność gminy Pysznica</w:t>
      </w: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114"/>
        <w:gridCol w:w="1134"/>
        <w:gridCol w:w="1417"/>
        <w:gridCol w:w="624"/>
        <w:gridCol w:w="724"/>
        <w:gridCol w:w="1487"/>
        <w:gridCol w:w="1308"/>
        <w:gridCol w:w="967"/>
        <w:gridCol w:w="1250"/>
        <w:gridCol w:w="810"/>
      </w:tblGrid>
      <w:tr w:rsidR="008458E8" w:rsidRPr="004E6068" w14:paraId="1BB83F1C" w14:textId="6B6D5A8F" w:rsidTr="00796DD9">
        <w:trPr>
          <w:trHeight w:val="289"/>
          <w:jc w:val="center"/>
        </w:trPr>
        <w:tc>
          <w:tcPr>
            <w:tcW w:w="299" w:type="dxa"/>
            <w:shd w:val="clear" w:color="auto" w:fill="D5DCE4" w:themeFill="text2" w:themeFillTint="33"/>
            <w:vAlign w:val="center"/>
          </w:tcPr>
          <w:p w14:paraId="570AE87F" w14:textId="77777777" w:rsidR="008458E8" w:rsidRPr="00FE072B" w:rsidRDefault="008458E8" w:rsidP="001D71C4">
            <w:pPr>
              <w:ind w:left="-92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Lp</w:t>
            </w:r>
          </w:p>
        </w:tc>
        <w:tc>
          <w:tcPr>
            <w:tcW w:w="1114" w:type="dxa"/>
            <w:shd w:val="clear" w:color="auto" w:fill="D5DCE4" w:themeFill="text2" w:themeFillTint="33"/>
            <w:vAlign w:val="center"/>
          </w:tcPr>
          <w:p w14:paraId="58863FA1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Położenie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2C9E91" w14:textId="7C1F05EE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Oznaczenie nieruchomości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wg katastru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6BCBE815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Nr Kw</w:t>
            </w:r>
          </w:p>
        </w:tc>
        <w:tc>
          <w:tcPr>
            <w:tcW w:w="624" w:type="dxa"/>
            <w:shd w:val="clear" w:color="auto" w:fill="D5DCE4" w:themeFill="text2" w:themeFillTint="33"/>
            <w:vAlign w:val="center"/>
          </w:tcPr>
          <w:p w14:paraId="25765A47" w14:textId="77777777" w:rsidR="008458E8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Opis nieruchomości</w:t>
            </w:r>
          </w:p>
          <w:p w14:paraId="08934B71" w14:textId="4E476EE6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Użytek</w:t>
            </w:r>
          </w:p>
        </w:tc>
        <w:tc>
          <w:tcPr>
            <w:tcW w:w="724" w:type="dxa"/>
            <w:shd w:val="clear" w:color="auto" w:fill="D5DCE4" w:themeFill="text2" w:themeFillTint="33"/>
            <w:vAlign w:val="center"/>
          </w:tcPr>
          <w:p w14:paraId="15C1F16A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Pow.</w:t>
            </w:r>
          </w:p>
          <w:p w14:paraId="4C572E4C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działki </w:t>
            </w:r>
          </w:p>
          <w:p w14:paraId="4797FBB1" w14:textId="3D9BF1EA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[ha]</w:t>
            </w:r>
          </w:p>
        </w:tc>
        <w:tc>
          <w:tcPr>
            <w:tcW w:w="1487" w:type="dxa"/>
            <w:shd w:val="clear" w:color="auto" w:fill="D5DCE4" w:themeFill="text2" w:themeFillTint="33"/>
            <w:vAlign w:val="center"/>
          </w:tcPr>
          <w:p w14:paraId="2C9F863A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Przeznaczenie </w:t>
            </w:r>
          </w:p>
          <w:p w14:paraId="68EA4B26" w14:textId="7EB29656" w:rsidR="008458E8" w:rsidRPr="00FE072B" w:rsidRDefault="008458E8" w:rsidP="005842C0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 MPZP lub w</w:t>
            </w:r>
            <w:r w:rsidR="004B78BE">
              <w:rPr>
                <w:rFonts w:ascii="Arial" w:eastAsia="Calibri" w:hAnsi="Arial" w:cs="Arial"/>
                <w:b/>
                <w:sz w:val="12"/>
                <w:szCs w:val="12"/>
              </w:rPr>
              <w:t> 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decyzji o WZ</w:t>
            </w:r>
          </w:p>
        </w:tc>
        <w:tc>
          <w:tcPr>
            <w:tcW w:w="1308" w:type="dxa"/>
            <w:shd w:val="clear" w:color="auto" w:fill="D5DCE4" w:themeFill="text2" w:themeFillTint="33"/>
            <w:vAlign w:val="center"/>
          </w:tcPr>
          <w:p w14:paraId="02F149EC" w14:textId="00AEFD94" w:rsidR="008458E8" w:rsidRPr="00FE072B" w:rsidRDefault="008458E8" w:rsidP="001D71C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Cena 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wywoławcza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 xml:space="preserve">[zł] 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(+ VAT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t xml:space="preserve"> 23%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967" w:type="dxa"/>
            <w:shd w:val="clear" w:color="auto" w:fill="D5DCE4" w:themeFill="text2" w:themeFillTint="33"/>
            <w:vAlign w:val="center"/>
          </w:tcPr>
          <w:p w14:paraId="7DADA365" w14:textId="0BE53D93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Wysokość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wadium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[zł]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09625089" w14:textId="4A6C2280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Uwagi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Obciążenia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5D380541" w14:textId="02C5B122" w:rsidR="008458E8" w:rsidRPr="00FE072B" w:rsidRDefault="008458E8" w:rsidP="008458E8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sz w:val="12"/>
                <w:szCs w:val="12"/>
              </w:rPr>
              <w:t>Link</w:t>
            </w:r>
          </w:p>
        </w:tc>
      </w:tr>
      <w:tr w:rsidR="008458E8" w:rsidRPr="004E6068" w14:paraId="3B58C90A" w14:textId="492E6F58" w:rsidTr="00796DD9">
        <w:trPr>
          <w:trHeight w:val="51"/>
          <w:jc w:val="center"/>
        </w:trPr>
        <w:tc>
          <w:tcPr>
            <w:tcW w:w="29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59D683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F87220D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E322AFC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5A7CC5B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31578B7D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8EF861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DB5D08" w14:textId="77777777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4A6156C" w14:textId="21E76EEB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290A1AF" w14:textId="27DA785F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1977B0F" w14:textId="5DFD33D6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5726FEB" w14:textId="44F7EB33" w:rsidR="008458E8" w:rsidRPr="00FE072B" w:rsidRDefault="008458E8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</w:tr>
      <w:tr w:rsidR="008458E8" w:rsidRPr="004E6068" w14:paraId="29F04314" w14:textId="623C41E4" w:rsidTr="00796DD9">
        <w:trPr>
          <w:trHeight w:val="1259"/>
          <w:jc w:val="center"/>
        </w:trPr>
        <w:tc>
          <w:tcPr>
            <w:tcW w:w="2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254F43" w14:textId="77777777" w:rsidR="008458E8" w:rsidRPr="004E6068" w:rsidRDefault="008458E8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5E93E2" w14:textId="45940B62" w:rsidR="008458E8" w:rsidRPr="000026F2" w:rsidRDefault="008458E8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E19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C1714" w14:textId="7DBD80E8" w:rsidR="008458E8" w:rsidRPr="009F1E19" w:rsidRDefault="008458E8" w:rsidP="00EA1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3C86">
              <w:rPr>
                <w:rFonts w:ascii="Arial" w:hAnsi="Arial" w:cs="Arial"/>
                <w:b/>
                <w:bCs/>
                <w:sz w:val="16"/>
                <w:szCs w:val="16"/>
              </w:rPr>
              <w:t>1201/23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E02CE" w14:textId="247C47C5" w:rsidR="008458E8" w:rsidRPr="00C76C78" w:rsidRDefault="008458E8" w:rsidP="00EA13F5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FFAE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LsVI</w:t>
            </w:r>
          </w:p>
          <w:p w14:paraId="31C4B8F6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LsV</w:t>
            </w:r>
          </w:p>
          <w:p w14:paraId="41EE5694" w14:textId="0C750AAA" w:rsidR="008458E8" w:rsidRPr="00E911FE" w:rsidRDefault="008458E8" w:rsidP="00EA3F5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3C86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C13D6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0,1678</w:t>
            </w:r>
          </w:p>
          <w:p w14:paraId="648199B5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0,3337</w:t>
            </w:r>
          </w:p>
          <w:p w14:paraId="6F7C3904" w14:textId="0126D528" w:rsidR="008458E8" w:rsidRPr="00D875FD" w:rsidRDefault="008458E8" w:rsidP="00EA3F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0,4224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0B059F" w14:textId="77777777" w:rsidR="008458E8" w:rsidRPr="00623C86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623C86">
              <w:rPr>
                <w:rFonts w:ascii="Arial" w:eastAsia="Calibri" w:hAnsi="Arial" w:cs="Arial"/>
                <w:sz w:val="13"/>
                <w:szCs w:val="13"/>
              </w:rPr>
              <w:t>Teren zabudowy</w:t>
            </w:r>
          </w:p>
          <w:p w14:paraId="0BA432B6" w14:textId="5299F875" w:rsidR="008458E8" w:rsidRPr="00144183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623C86">
              <w:rPr>
                <w:rFonts w:ascii="Arial" w:eastAsia="Calibri" w:hAnsi="Arial" w:cs="Arial"/>
                <w:sz w:val="13"/>
                <w:szCs w:val="13"/>
              </w:rPr>
              <w:t>usługowej oraz obiektów produkcyjnych, składów i</w:t>
            </w:r>
            <w:r>
              <w:rPr>
                <w:rFonts w:ascii="Arial" w:eastAsia="Calibri" w:hAnsi="Arial" w:cs="Arial"/>
                <w:sz w:val="13"/>
                <w:szCs w:val="13"/>
              </w:rPr>
              <w:t> </w:t>
            </w:r>
            <w:r w:rsidRPr="00623C86">
              <w:rPr>
                <w:rFonts w:ascii="Arial" w:eastAsia="Calibri" w:hAnsi="Arial" w:cs="Arial"/>
                <w:sz w:val="13"/>
                <w:szCs w:val="13"/>
              </w:rPr>
              <w:t>magazynów – 4UP wg. MPZP – Uchwała XXIX/202/2021 z</w:t>
            </w:r>
            <w:r>
              <w:rPr>
                <w:rFonts w:ascii="Arial" w:eastAsia="Calibri" w:hAnsi="Arial" w:cs="Arial"/>
                <w:sz w:val="13"/>
                <w:szCs w:val="13"/>
              </w:rPr>
              <w:t> </w:t>
            </w:r>
            <w:r w:rsidRPr="00623C86">
              <w:rPr>
                <w:rFonts w:ascii="Arial" w:eastAsia="Calibri" w:hAnsi="Arial" w:cs="Arial"/>
                <w:sz w:val="13"/>
                <w:szCs w:val="13"/>
              </w:rPr>
              <w:t>dnia 03.03.2021 r.</w:t>
            </w:r>
          </w:p>
        </w:tc>
        <w:tc>
          <w:tcPr>
            <w:tcW w:w="13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E11E34" w14:textId="615280AD" w:rsidR="008458E8" w:rsidRPr="00623C86" w:rsidRDefault="00C157D3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425</w:t>
            </w:r>
            <w:r w:rsidR="008458E8" w:rsidRPr="00623C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500,00</w:t>
            </w:r>
          </w:p>
          <w:p w14:paraId="30A9FD08" w14:textId="0538866F" w:rsidR="008458E8" w:rsidRPr="00F85D3B" w:rsidRDefault="008458E8" w:rsidP="00F85D3B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23C8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9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E592B" w14:textId="71981658" w:rsidR="008458E8" w:rsidRPr="00EA3F5F" w:rsidRDefault="008458E8" w:rsidP="00EA3F5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23C86">
              <w:rPr>
                <w:rFonts w:ascii="Arial" w:hAnsi="Arial" w:cs="Arial"/>
                <w:sz w:val="15"/>
                <w:szCs w:val="15"/>
              </w:rPr>
              <w:t>62 54</w:t>
            </w:r>
            <w:r>
              <w:rPr>
                <w:rFonts w:ascii="Arial" w:hAnsi="Arial" w:cs="Arial"/>
                <w:sz w:val="15"/>
                <w:szCs w:val="15"/>
              </w:rPr>
              <w:t>6,00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30554" w14:textId="540F7446" w:rsidR="008458E8" w:rsidRPr="00C3033E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12D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6B12DC">
              <w:rPr>
                <w:rFonts w:ascii="Arial" w:hAnsi="Arial" w:cs="Arial"/>
                <w:sz w:val="12"/>
                <w:szCs w:val="12"/>
              </w:rPr>
              <w:br/>
              <w:t xml:space="preserve">w Dziale III w KW </w:t>
            </w:r>
            <w:r w:rsidRPr="006B12DC">
              <w:rPr>
                <w:rFonts w:ascii="Arial" w:eastAsia="Calibri" w:hAnsi="Arial" w:cs="Arial"/>
                <w:sz w:val="12"/>
                <w:szCs w:val="12"/>
              </w:rPr>
              <w:t>nie dotyczą działki z</w:t>
            </w:r>
            <w:r w:rsidR="004B78BE">
              <w:rPr>
                <w:rFonts w:ascii="Arial" w:eastAsia="Calibri" w:hAnsi="Arial" w:cs="Arial"/>
                <w:sz w:val="12"/>
                <w:szCs w:val="12"/>
              </w:rPr>
              <w:t> </w:t>
            </w:r>
            <w:r w:rsidRPr="006B12DC">
              <w:rPr>
                <w:rFonts w:ascii="Arial" w:eastAsia="Calibri" w:hAnsi="Arial" w:cs="Arial"/>
                <w:sz w:val="12"/>
                <w:szCs w:val="12"/>
              </w:rPr>
              <w:t>przetargu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vAlign w:val="center"/>
          </w:tcPr>
          <w:p w14:paraId="3CB8B885" w14:textId="59CCD748" w:rsidR="008458E8" w:rsidRPr="008458E8" w:rsidRDefault="008E0B4A" w:rsidP="00845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8458E8" w:rsidRPr="008458E8">
                <w:rPr>
                  <w:rStyle w:val="Hipercze"/>
                  <w:rFonts w:ascii="Arial" w:hAnsi="Arial" w:cs="Arial"/>
                  <w:sz w:val="16"/>
                  <w:szCs w:val="16"/>
                </w:rPr>
                <w:t>1201/23</w:t>
              </w:r>
            </w:hyperlink>
          </w:p>
        </w:tc>
      </w:tr>
      <w:tr w:rsidR="008458E8" w:rsidRPr="004E6068" w14:paraId="3425BFE8" w14:textId="158BA75A" w:rsidTr="00796DD9">
        <w:trPr>
          <w:trHeight w:val="323"/>
          <w:jc w:val="center"/>
        </w:trPr>
        <w:tc>
          <w:tcPr>
            <w:tcW w:w="2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C8D3F9" w14:textId="77777777" w:rsidR="008458E8" w:rsidRPr="004E6068" w:rsidRDefault="008458E8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8CF20" w14:textId="77777777" w:rsidR="008458E8" w:rsidRPr="009F1E19" w:rsidRDefault="008458E8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EC608" w14:textId="77777777" w:rsidR="008458E8" w:rsidRPr="00623C86" w:rsidRDefault="008458E8" w:rsidP="00EA13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FFEB7" w14:textId="77777777" w:rsidR="008458E8" w:rsidRPr="00623C86" w:rsidRDefault="008458E8" w:rsidP="00EA13F5">
            <w:pPr>
              <w:ind w:left="-181" w:right="-17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0B9C34" w14:textId="6D8B4D4C" w:rsidR="008458E8" w:rsidRPr="00EA3F5F" w:rsidRDefault="008458E8" w:rsidP="00623C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3F5F">
              <w:rPr>
                <w:b/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745C1F" w14:textId="5BFC38FB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F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0,9239</w:t>
            </w:r>
          </w:p>
        </w:tc>
        <w:tc>
          <w:tcPr>
            <w:tcW w:w="14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FED3F2" w14:textId="77777777" w:rsidR="008458E8" w:rsidRPr="00623C86" w:rsidRDefault="008458E8" w:rsidP="00623C86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5DE14" w14:textId="77777777" w:rsidR="008458E8" w:rsidRPr="00623C86" w:rsidRDefault="008458E8" w:rsidP="00623C86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58612" w14:textId="77777777" w:rsidR="008458E8" w:rsidRPr="00623C86" w:rsidRDefault="008458E8" w:rsidP="00EA3F5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55473" w14:textId="77777777" w:rsidR="008458E8" w:rsidRPr="00557C1C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299FE3CA" w14:textId="77777777" w:rsidR="008458E8" w:rsidRPr="00557C1C" w:rsidRDefault="008458E8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CF170E3" w14:textId="77777777" w:rsidR="00C76C78" w:rsidRDefault="00C76C78">
      <w:pPr>
        <w:rPr>
          <w:sz w:val="6"/>
          <w:szCs w:val="6"/>
        </w:rPr>
      </w:pPr>
    </w:p>
    <w:p w14:paraId="0B4248F6" w14:textId="66F86471" w:rsidR="00DB7F14" w:rsidRPr="008A5B86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Przetarg ustny odbędzie się w dniu </w:t>
      </w:r>
      <w:r w:rsidR="00C157D3">
        <w:rPr>
          <w:rFonts w:ascii="Arial" w:hAnsi="Arial" w:cs="Arial"/>
          <w:b/>
          <w:sz w:val="17"/>
          <w:szCs w:val="17"/>
        </w:rPr>
        <w:t>25</w:t>
      </w:r>
      <w:r w:rsidR="006B12DC" w:rsidRPr="008A5B86">
        <w:rPr>
          <w:rFonts w:ascii="Arial" w:hAnsi="Arial" w:cs="Arial"/>
          <w:b/>
          <w:sz w:val="17"/>
          <w:szCs w:val="17"/>
        </w:rPr>
        <w:t>.</w:t>
      </w:r>
      <w:r w:rsidR="00284001">
        <w:rPr>
          <w:rFonts w:ascii="Arial" w:hAnsi="Arial" w:cs="Arial"/>
          <w:b/>
          <w:sz w:val="17"/>
          <w:szCs w:val="17"/>
        </w:rPr>
        <w:t>0</w:t>
      </w:r>
      <w:r w:rsidR="00C157D3">
        <w:rPr>
          <w:rFonts w:ascii="Arial" w:hAnsi="Arial" w:cs="Arial"/>
          <w:b/>
          <w:sz w:val="17"/>
          <w:szCs w:val="17"/>
        </w:rPr>
        <w:t>6</w:t>
      </w:r>
      <w:r w:rsidRPr="008A5B86">
        <w:rPr>
          <w:rFonts w:ascii="Arial" w:hAnsi="Arial" w:cs="Arial"/>
          <w:b/>
          <w:sz w:val="17"/>
          <w:szCs w:val="17"/>
        </w:rPr>
        <w:t>.202</w:t>
      </w:r>
      <w:r w:rsidR="003E0C40">
        <w:rPr>
          <w:rFonts w:ascii="Arial" w:hAnsi="Arial" w:cs="Arial"/>
          <w:b/>
          <w:sz w:val="17"/>
          <w:szCs w:val="17"/>
        </w:rPr>
        <w:t>4</w:t>
      </w:r>
      <w:r w:rsidR="00533DEB" w:rsidRPr="008A5B86">
        <w:rPr>
          <w:rFonts w:ascii="Arial" w:hAnsi="Arial" w:cs="Arial"/>
          <w:b/>
          <w:sz w:val="17"/>
          <w:szCs w:val="17"/>
        </w:rPr>
        <w:t xml:space="preserve"> </w:t>
      </w:r>
      <w:r w:rsidRPr="008A5B86">
        <w:rPr>
          <w:rFonts w:ascii="Arial" w:hAnsi="Arial" w:cs="Arial"/>
          <w:b/>
          <w:sz w:val="17"/>
          <w:szCs w:val="17"/>
        </w:rPr>
        <w:t>r.</w:t>
      </w:r>
      <w:r w:rsidRPr="008A5B86">
        <w:rPr>
          <w:rFonts w:ascii="Arial" w:hAnsi="Arial" w:cs="Arial"/>
          <w:sz w:val="17"/>
          <w:szCs w:val="17"/>
        </w:rPr>
        <w:t xml:space="preserve"> </w:t>
      </w:r>
      <w:r w:rsidR="00F422E8" w:rsidRPr="008A5B86">
        <w:rPr>
          <w:rFonts w:ascii="Arial" w:hAnsi="Arial" w:cs="Arial"/>
          <w:sz w:val="17"/>
          <w:szCs w:val="17"/>
        </w:rPr>
        <w:t>o</w:t>
      </w:r>
      <w:r w:rsidRPr="008A5B86">
        <w:rPr>
          <w:rFonts w:ascii="Arial" w:hAnsi="Arial" w:cs="Arial"/>
          <w:sz w:val="17"/>
          <w:szCs w:val="17"/>
        </w:rPr>
        <w:t xml:space="preserve"> </w:t>
      </w:r>
      <w:r w:rsidRPr="008A5B86">
        <w:rPr>
          <w:rFonts w:ascii="Arial" w:hAnsi="Arial" w:cs="Arial"/>
          <w:b/>
          <w:sz w:val="17"/>
          <w:szCs w:val="17"/>
        </w:rPr>
        <w:t xml:space="preserve">godz. </w:t>
      </w:r>
      <w:r w:rsidR="00A73B14">
        <w:rPr>
          <w:rFonts w:ascii="Arial" w:hAnsi="Arial" w:cs="Arial"/>
          <w:b/>
          <w:sz w:val="17"/>
          <w:szCs w:val="17"/>
        </w:rPr>
        <w:t>9</w:t>
      </w:r>
      <w:r w:rsidRPr="008A5B86">
        <w:rPr>
          <w:rFonts w:ascii="Arial" w:hAnsi="Arial" w:cs="Arial"/>
          <w:b/>
          <w:sz w:val="17"/>
          <w:szCs w:val="17"/>
          <w:vertAlign w:val="superscript"/>
        </w:rPr>
        <w:t>00</w:t>
      </w:r>
      <w:r w:rsidR="00BE7F21" w:rsidRPr="008A5B86">
        <w:rPr>
          <w:rFonts w:ascii="Arial" w:hAnsi="Arial" w:cs="Arial"/>
          <w:sz w:val="17"/>
          <w:szCs w:val="17"/>
        </w:rPr>
        <w:t xml:space="preserve"> </w:t>
      </w:r>
      <w:r w:rsidRPr="008A5B86">
        <w:rPr>
          <w:rFonts w:ascii="Arial" w:hAnsi="Arial" w:cs="Arial"/>
          <w:b/>
          <w:sz w:val="17"/>
          <w:szCs w:val="17"/>
        </w:rPr>
        <w:t xml:space="preserve">sala nr </w:t>
      </w:r>
      <w:r w:rsidR="004A3E9E" w:rsidRPr="008A5B86">
        <w:rPr>
          <w:rFonts w:ascii="Arial" w:hAnsi="Arial" w:cs="Arial"/>
          <w:b/>
          <w:sz w:val="17"/>
          <w:szCs w:val="17"/>
        </w:rPr>
        <w:t>31</w:t>
      </w:r>
      <w:r w:rsidRPr="008A5B86">
        <w:rPr>
          <w:rFonts w:ascii="Arial" w:hAnsi="Arial" w:cs="Arial"/>
          <w:sz w:val="17"/>
          <w:szCs w:val="17"/>
        </w:rPr>
        <w:t xml:space="preserve"> w budynku Urzędu Gminy  w Pysznicy ul. Wolności 322.</w:t>
      </w:r>
    </w:p>
    <w:p w14:paraId="5702F9A8" w14:textId="6E303BEC" w:rsidR="00DB7F14" w:rsidRPr="008A5B86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Warunkiem uczestnictwa w przetargu jest wpłacenie wadium </w:t>
      </w:r>
      <w:r w:rsidR="00A73B14">
        <w:rPr>
          <w:rFonts w:ascii="Arial" w:hAnsi="Arial" w:cs="Arial"/>
          <w:sz w:val="17"/>
          <w:szCs w:val="17"/>
        </w:rPr>
        <w:t xml:space="preserve">w </w:t>
      </w:r>
      <w:r w:rsidRPr="008A5B86">
        <w:rPr>
          <w:rFonts w:ascii="Arial" w:hAnsi="Arial" w:cs="Arial"/>
          <w:sz w:val="17"/>
          <w:szCs w:val="17"/>
        </w:rPr>
        <w:t xml:space="preserve">terminie do </w:t>
      </w:r>
      <w:r w:rsidR="008E0B4A">
        <w:rPr>
          <w:rFonts w:ascii="Arial" w:hAnsi="Arial" w:cs="Arial"/>
          <w:b/>
          <w:sz w:val="17"/>
          <w:szCs w:val="17"/>
        </w:rPr>
        <w:t>19</w:t>
      </w:r>
      <w:r w:rsidRPr="008A5B86">
        <w:rPr>
          <w:rFonts w:ascii="Arial" w:hAnsi="Arial" w:cs="Arial"/>
          <w:b/>
          <w:sz w:val="17"/>
          <w:szCs w:val="17"/>
        </w:rPr>
        <w:t>.</w:t>
      </w:r>
      <w:r w:rsidR="00C157D3">
        <w:rPr>
          <w:rFonts w:ascii="Arial" w:hAnsi="Arial" w:cs="Arial"/>
          <w:b/>
          <w:sz w:val="17"/>
          <w:szCs w:val="17"/>
        </w:rPr>
        <w:t>06</w:t>
      </w:r>
      <w:r w:rsidRPr="008A5B86">
        <w:rPr>
          <w:rFonts w:ascii="Arial" w:hAnsi="Arial" w:cs="Arial"/>
          <w:b/>
          <w:sz w:val="17"/>
          <w:szCs w:val="17"/>
        </w:rPr>
        <w:t>.202</w:t>
      </w:r>
      <w:r w:rsidR="00287458">
        <w:rPr>
          <w:rFonts w:ascii="Arial" w:hAnsi="Arial" w:cs="Arial"/>
          <w:b/>
          <w:sz w:val="17"/>
          <w:szCs w:val="17"/>
        </w:rPr>
        <w:t>4</w:t>
      </w:r>
      <w:r w:rsidR="00BE3167" w:rsidRPr="008A5B86">
        <w:rPr>
          <w:rFonts w:ascii="Arial" w:hAnsi="Arial" w:cs="Arial"/>
          <w:b/>
          <w:sz w:val="17"/>
          <w:szCs w:val="17"/>
        </w:rPr>
        <w:t xml:space="preserve"> </w:t>
      </w:r>
      <w:r w:rsidRPr="008A5B86">
        <w:rPr>
          <w:rFonts w:ascii="Arial" w:hAnsi="Arial" w:cs="Arial"/>
          <w:b/>
          <w:sz w:val="17"/>
          <w:szCs w:val="17"/>
        </w:rPr>
        <w:t xml:space="preserve">r. </w:t>
      </w:r>
      <w:r w:rsidRPr="008A5B86">
        <w:rPr>
          <w:rFonts w:ascii="Arial" w:hAnsi="Arial" w:cs="Arial"/>
          <w:sz w:val="17"/>
          <w:szCs w:val="17"/>
        </w:rPr>
        <w:t xml:space="preserve">na konto Urzędu Gminy w Pysznicy nr </w:t>
      </w:r>
      <w:r w:rsidRPr="008A5B86">
        <w:rPr>
          <w:rFonts w:ascii="Arial" w:hAnsi="Arial" w:cs="Arial"/>
          <w:b/>
          <w:sz w:val="17"/>
          <w:szCs w:val="17"/>
        </w:rPr>
        <w:t xml:space="preserve">36 9434 1025 2006 1695 1311 0002 </w:t>
      </w:r>
      <w:r w:rsidRPr="00F87270">
        <w:rPr>
          <w:rFonts w:ascii="Arial" w:hAnsi="Arial" w:cs="Arial"/>
          <w:bCs/>
          <w:sz w:val="17"/>
          <w:szCs w:val="17"/>
        </w:rPr>
        <w:t>BS</w:t>
      </w:r>
      <w:r w:rsidRPr="008A5B86">
        <w:rPr>
          <w:rFonts w:ascii="Arial" w:hAnsi="Arial" w:cs="Arial"/>
          <w:sz w:val="17"/>
          <w:szCs w:val="17"/>
        </w:rPr>
        <w:t xml:space="preserve"> Tarnobrzeg o/Nisko w wysokości wymienionej w tabeli, z adnotacją w tytule przelewu: „wpłata wadium na dz. nr. …...” </w:t>
      </w:r>
    </w:p>
    <w:p w14:paraId="66CDAE87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Za datę wniesienia wadium uważa się datę wpływu środków pieniężnych na rachunek Urzędu Gminy w Pysznicy.</w:t>
      </w:r>
    </w:p>
    <w:p w14:paraId="334DA6CA" w14:textId="77777777" w:rsidR="005551EE" w:rsidRPr="008A5B86" w:rsidRDefault="005551EE" w:rsidP="00D1520B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45046641" w14:textId="77777777" w:rsidR="005551EE" w:rsidRPr="008A5B86" w:rsidRDefault="005551EE" w:rsidP="005551EE">
      <w:pPr>
        <w:ind w:left="-993" w:right="-993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8A5B86">
        <w:rPr>
          <w:rFonts w:ascii="Arial" w:hAnsi="Arial" w:cs="Arial"/>
          <w:b/>
          <w:sz w:val="17"/>
          <w:szCs w:val="17"/>
          <w:u w:val="single"/>
        </w:rPr>
        <w:t>Warunkiem udziału w przetargu jest wniesienie wadium oraz przedłożenie komisji przetargowej:</w:t>
      </w:r>
    </w:p>
    <w:p w14:paraId="54D3A168" w14:textId="77777777" w:rsidR="005551EE" w:rsidRPr="008A5B86" w:rsidRDefault="005551EE" w:rsidP="005551EE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55E3EBCC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W przypadku osób fizycznych – dokumentu tożsamości.</w:t>
      </w:r>
    </w:p>
    <w:p w14:paraId="23D9C2DC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74152BEA" w14:textId="77777777" w:rsidR="005551EE" w:rsidRPr="0036270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 xml:space="preserve"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</w:t>
      </w:r>
      <w:r w:rsidRPr="00362705">
        <w:rPr>
          <w:rFonts w:ascii="Arial" w:hAnsi="Arial" w:cs="Arial"/>
          <w:sz w:val="16"/>
          <w:szCs w:val="16"/>
        </w:rPr>
        <w:t>reprezentujących podmiot.</w:t>
      </w:r>
    </w:p>
    <w:p w14:paraId="15AEC9F1" w14:textId="0732BBC2" w:rsidR="00F85D3B" w:rsidRPr="00362705" w:rsidRDefault="005551EE" w:rsidP="00F63C71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Uczestnicy biorą udział w przetargu osobiście lub przez pełnomocnika – pełnomocnictwo winno być sporządzone notarialnie lub w formie pisemnej z</w:t>
      </w:r>
      <w:r w:rsidR="003726B5" w:rsidRPr="00362705">
        <w:rPr>
          <w:rFonts w:ascii="Arial" w:hAnsi="Arial" w:cs="Arial"/>
          <w:sz w:val="16"/>
          <w:szCs w:val="16"/>
        </w:rPr>
        <w:t> </w:t>
      </w:r>
      <w:r w:rsidRPr="00362705">
        <w:rPr>
          <w:rFonts w:ascii="Arial" w:hAnsi="Arial" w:cs="Arial"/>
          <w:sz w:val="16"/>
          <w:szCs w:val="16"/>
        </w:rPr>
        <w:t xml:space="preserve">podpisami notarialnie poświadczonymi. </w:t>
      </w:r>
      <w:r w:rsidR="00F85D3B" w:rsidRPr="00362705">
        <w:rPr>
          <w:rFonts w:ascii="Arial" w:hAnsi="Arial" w:cs="Arial"/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6D85E3D0" w14:textId="64F392A3" w:rsidR="00F85D3B" w:rsidRPr="00362705" w:rsidRDefault="00F85D3B" w:rsidP="00F85D3B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362705">
        <w:rPr>
          <w:rFonts w:ascii="Arial" w:hAnsi="Arial" w:cs="Arial"/>
        </w:rPr>
        <w:t xml:space="preserve"> </w:t>
      </w:r>
      <w:r w:rsidRPr="00362705">
        <w:rPr>
          <w:rFonts w:ascii="Arial" w:hAnsi="Arial" w:cs="Arial"/>
          <w:sz w:val="16"/>
          <w:szCs w:val="16"/>
        </w:rPr>
        <w:t>W przypadku uczestnictwa w przetargu jednego z 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157D3">
        <w:rPr>
          <w:rFonts w:ascii="Arial" w:hAnsi="Arial" w:cs="Arial"/>
          <w:sz w:val="16"/>
          <w:szCs w:val="16"/>
        </w:rPr>
        <w:t xml:space="preserve"> </w:t>
      </w:r>
      <w:r w:rsidRPr="00362705">
        <w:rPr>
          <w:rFonts w:ascii="Arial" w:hAnsi="Arial" w:cs="Arial"/>
          <w:sz w:val="16"/>
          <w:szCs w:val="16"/>
        </w:rPr>
        <w:t xml:space="preserve">U. z </w:t>
      </w:r>
      <w:r w:rsidR="00C157D3" w:rsidRPr="00055132">
        <w:rPr>
          <w:rFonts w:ascii="Arial" w:hAnsi="Arial" w:cs="Arial"/>
          <w:sz w:val="16"/>
          <w:szCs w:val="16"/>
        </w:rPr>
        <w:t xml:space="preserve">2023 r. poz. 2809 </w:t>
      </w:r>
      <w:r w:rsidR="00C157D3">
        <w:rPr>
          <w:rFonts w:ascii="Arial" w:hAnsi="Arial" w:cs="Arial"/>
          <w:sz w:val="16"/>
          <w:szCs w:val="16"/>
        </w:rPr>
        <w:t>z późn.</w:t>
      </w:r>
      <w:r w:rsidR="00C157D3" w:rsidRPr="00362705">
        <w:rPr>
          <w:rFonts w:ascii="Arial" w:hAnsi="Arial" w:cs="Arial"/>
          <w:sz w:val="16"/>
          <w:szCs w:val="16"/>
        </w:rPr>
        <w:t xml:space="preserve"> zm</w:t>
      </w:r>
      <w:r w:rsidRPr="00362705">
        <w:rPr>
          <w:rFonts w:ascii="Arial" w:hAnsi="Arial" w:cs="Arial"/>
          <w:sz w:val="16"/>
          <w:szCs w:val="16"/>
        </w:rPr>
        <w:t>.). [Oświadczenia do pobrania na stronie BIP; oświadczenia na każdą działkę osobno].</w:t>
      </w:r>
    </w:p>
    <w:p w14:paraId="59D2C82D" w14:textId="77777777" w:rsidR="005551EE" w:rsidRPr="0036270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62705">
        <w:rPr>
          <w:rFonts w:ascii="Arial" w:hAnsi="Arial" w:cs="Arial"/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06565BEA" w14:textId="77777777" w:rsidR="005551EE" w:rsidRPr="008A5B86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8A5B86">
        <w:rPr>
          <w:rFonts w:ascii="Arial" w:hAnsi="Arial" w:cs="Arial"/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 technicznym przedmiotu sprzedaży oraz o przyjęciu go bez zastrzeżeń.</w:t>
      </w:r>
    </w:p>
    <w:p w14:paraId="32856E1C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Wadium wpłacone przez osobę, która wygra przetarg zostanie zaliczone na poczet ceny nabycia działki.</w:t>
      </w:r>
    </w:p>
    <w:p w14:paraId="33094C6A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Osobom, które nie wygrały przetargu wadium zostanie zwrócone niezwłocznie, nie później niż przed upływem 3 dni po zakończeniu przetargu zgodnie z obowiązującymi przepisami.                   </w:t>
      </w:r>
    </w:p>
    <w:p w14:paraId="5B540615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 przypadku, gdy osoba, która wygra przetarg, uchyli się od zawarcia umowy wadium przepada na rzecz Gminy Pysznica.</w:t>
      </w:r>
    </w:p>
    <w:p w14:paraId="0765C3D0" w14:textId="7777777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O wysokości postąpienia decydują uczestnicy przetargu, z tym że postąpienie nie może wynosić mniej niż 1% ceny wywoławczej, z zaokrągleniem w górę do pełnych dziesiątek złotych.                 </w:t>
      </w:r>
    </w:p>
    <w:p w14:paraId="69A7D2CB" w14:textId="7FF2B7C7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 xml:space="preserve">Gmina Pysznica zawiadomi osobę ustaloną jako Nabywcę nieruchomości o miejscu i terminie zawarcia umowy sprzedaży najpóźniej w ciągu                 21 dni od dnia rozstrzygnięcia przetargu. W przypadku </w:t>
      </w:r>
      <w:r w:rsidR="008A5B86" w:rsidRPr="008A5B86">
        <w:rPr>
          <w:rFonts w:ascii="Arial" w:hAnsi="Arial" w:cs="Arial"/>
          <w:sz w:val="17"/>
          <w:szCs w:val="17"/>
        </w:rPr>
        <w:t>nieprzystąpienia</w:t>
      </w:r>
      <w:r w:rsidRPr="008A5B86">
        <w:rPr>
          <w:rFonts w:ascii="Arial" w:hAnsi="Arial" w:cs="Arial"/>
          <w:sz w:val="17"/>
          <w:szCs w:val="17"/>
        </w:rPr>
        <w:t xml:space="preserve"> Nabywcy do zawarcia umowy notarialnej tj. niestawienie się w miejscu                i terminie podanym w zawiadomieniu lub braku wpłaty ceny nieruchomości do dnia zawarcia umowy Wójt Gminy Pysznica może odstąpić od zawarcia umowy, a wpłacone wadium nie podlega zwrotowi.     </w:t>
      </w:r>
    </w:p>
    <w:p w14:paraId="74032451" w14:textId="2B3280B6" w:rsidR="00DB7F14" w:rsidRPr="008A5B86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Działk</w:t>
      </w:r>
      <w:r w:rsidR="00A73B14">
        <w:rPr>
          <w:rFonts w:ascii="Arial" w:hAnsi="Arial" w:cs="Arial"/>
          <w:sz w:val="17"/>
          <w:szCs w:val="17"/>
        </w:rPr>
        <w:t>a</w:t>
      </w:r>
      <w:r w:rsidRPr="008A5B86">
        <w:rPr>
          <w:rFonts w:ascii="Arial" w:hAnsi="Arial" w:cs="Arial"/>
          <w:sz w:val="17"/>
          <w:szCs w:val="17"/>
        </w:rPr>
        <w:t xml:space="preserve"> sprzedawan</w:t>
      </w:r>
      <w:r w:rsidR="00A73B14">
        <w:rPr>
          <w:rFonts w:ascii="Arial" w:hAnsi="Arial" w:cs="Arial"/>
          <w:sz w:val="17"/>
          <w:szCs w:val="17"/>
        </w:rPr>
        <w:t>a</w:t>
      </w:r>
      <w:r w:rsidRPr="008A5B86">
        <w:rPr>
          <w:rFonts w:ascii="Arial" w:hAnsi="Arial" w:cs="Arial"/>
          <w:sz w:val="17"/>
          <w:szCs w:val="17"/>
        </w:rPr>
        <w:t xml:space="preserve"> </w:t>
      </w:r>
      <w:r w:rsidR="00A73B14">
        <w:rPr>
          <w:rFonts w:ascii="Arial" w:hAnsi="Arial" w:cs="Arial"/>
          <w:sz w:val="17"/>
          <w:szCs w:val="17"/>
        </w:rPr>
        <w:t>jest</w:t>
      </w:r>
      <w:r w:rsidRPr="008A5B86">
        <w:rPr>
          <w:rFonts w:ascii="Arial" w:hAnsi="Arial" w:cs="Arial"/>
          <w:sz w:val="17"/>
          <w:szCs w:val="17"/>
        </w:rPr>
        <w:t xml:space="preserve"> wg. stanu w ewidencji gruntów i budynków prowadzonej przez Starostę Stalowowolskiego.</w:t>
      </w:r>
    </w:p>
    <w:p w14:paraId="54C1E32F" w14:textId="0EBA81C6" w:rsidR="005842C0" w:rsidRDefault="00DB7F14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0810504" w14:textId="77777777" w:rsidR="00FC36F2" w:rsidRPr="008A5B86" w:rsidRDefault="00FC36F2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</w:p>
    <w:p w14:paraId="3C3AACDE" w14:textId="303778CA" w:rsidR="00DC42EC" w:rsidRDefault="00DC42EC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8A5B86">
        <w:rPr>
          <w:rFonts w:ascii="Arial" w:hAnsi="Arial" w:cs="Arial"/>
          <w:sz w:val="17"/>
          <w:szCs w:val="17"/>
        </w:rPr>
        <w:t>Wójt Gminy Pysznica zastrzega sobie prawo odwołania przetargu jedynie z uzasadnionej przyczyny, informując o tym niezwłocznie w formie właściwej dla ogłoszenia o przetargu.</w:t>
      </w:r>
    </w:p>
    <w:p w14:paraId="69E97E22" w14:textId="77777777" w:rsidR="00FC36F2" w:rsidRDefault="00FC36F2" w:rsidP="00FC36F2">
      <w:pPr>
        <w:ind w:left="-993" w:right="-993"/>
        <w:jc w:val="both"/>
        <w:rPr>
          <w:rFonts w:ascii="Arial" w:hAnsi="Arial" w:cs="Arial"/>
          <w:sz w:val="16"/>
          <w:szCs w:val="16"/>
        </w:rPr>
      </w:pPr>
    </w:p>
    <w:p w14:paraId="6D727448" w14:textId="77777777" w:rsidR="00C157D3" w:rsidRPr="0031643E" w:rsidRDefault="00C157D3" w:rsidP="00C157D3">
      <w:pPr>
        <w:ind w:left="-993" w:right="-993"/>
        <w:jc w:val="both"/>
        <w:rPr>
          <w:rFonts w:ascii="Arial" w:hAnsi="Arial" w:cs="Arial"/>
          <w:b/>
          <w:sz w:val="17"/>
          <w:szCs w:val="17"/>
        </w:rPr>
      </w:pPr>
      <w:r w:rsidRPr="0031643E">
        <w:rPr>
          <w:rFonts w:ascii="Arial" w:hAnsi="Arial" w:cs="Arial"/>
          <w:sz w:val="17"/>
          <w:szCs w:val="17"/>
        </w:rPr>
        <w:t xml:space="preserve">Terminy poprzednich przetargów: </w:t>
      </w:r>
      <w:r w:rsidRPr="0031643E">
        <w:rPr>
          <w:rFonts w:ascii="Arial" w:hAnsi="Arial" w:cs="Arial"/>
          <w:b/>
          <w:sz w:val="17"/>
          <w:szCs w:val="17"/>
        </w:rPr>
        <w:t xml:space="preserve">05.10.2023 r. - I przetarg, 21.11.2023 r. - II przetarg, </w:t>
      </w:r>
      <w:r>
        <w:rPr>
          <w:rFonts w:ascii="Arial" w:hAnsi="Arial" w:cs="Arial"/>
          <w:b/>
          <w:sz w:val="17"/>
          <w:szCs w:val="17"/>
        </w:rPr>
        <w:t>01</w:t>
      </w:r>
      <w:r w:rsidRPr="0031643E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03</w:t>
      </w:r>
      <w:r w:rsidRPr="0031643E">
        <w:rPr>
          <w:rFonts w:ascii="Arial" w:hAnsi="Arial" w:cs="Arial"/>
          <w:b/>
          <w:sz w:val="17"/>
          <w:szCs w:val="17"/>
        </w:rPr>
        <w:t>.202</w:t>
      </w:r>
      <w:r>
        <w:rPr>
          <w:rFonts w:ascii="Arial" w:hAnsi="Arial" w:cs="Arial"/>
          <w:b/>
          <w:sz w:val="17"/>
          <w:szCs w:val="17"/>
        </w:rPr>
        <w:t>4</w:t>
      </w:r>
      <w:r w:rsidRPr="0031643E">
        <w:rPr>
          <w:rFonts w:ascii="Arial" w:hAnsi="Arial" w:cs="Arial"/>
          <w:b/>
          <w:sz w:val="17"/>
          <w:szCs w:val="17"/>
        </w:rPr>
        <w:t xml:space="preserve"> r. - I</w:t>
      </w:r>
      <w:r>
        <w:rPr>
          <w:rFonts w:ascii="Arial" w:hAnsi="Arial" w:cs="Arial"/>
          <w:b/>
          <w:sz w:val="17"/>
          <w:szCs w:val="17"/>
        </w:rPr>
        <w:t>I</w:t>
      </w:r>
      <w:r w:rsidRPr="0031643E">
        <w:rPr>
          <w:rFonts w:ascii="Arial" w:hAnsi="Arial" w:cs="Arial"/>
          <w:b/>
          <w:sz w:val="17"/>
          <w:szCs w:val="17"/>
        </w:rPr>
        <w:t xml:space="preserve">I przetarg, </w:t>
      </w:r>
      <w:r>
        <w:rPr>
          <w:rFonts w:ascii="Arial" w:hAnsi="Arial" w:cs="Arial"/>
          <w:b/>
          <w:sz w:val="17"/>
          <w:szCs w:val="17"/>
        </w:rPr>
        <w:t>14</w:t>
      </w:r>
      <w:r w:rsidRPr="0031643E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05</w:t>
      </w:r>
      <w:r w:rsidRPr="0031643E">
        <w:rPr>
          <w:rFonts w:ascii="Arial" w:hAnsi="Arial" w:cs="Arial"/>
          <w:b/>
          <w:sz w:val="17"/>
          <w:szCs w:val="17"/>
        </w:rPr>
        <w:t>.202</w:t>
      </w:r>
      <w:r>
        <w:rPr>
          <w:rFonts w:ascii="Arial" w:hAnsi="Arial" w:cs="Arial"/>
          <w:b/>
          <w:sz w:val="17"/>
          <w:szCs w:val="17"/>
        </w:rPr>
        <w:t>4</w:t>
      </w:r>
      <w:r w:rsidRPr="0031643E">
        <w:rPr>
          <w:rFonts w:ascii="Arial" w:hAnsi="Arial" w:cs="Arial"/>
          <w:b/>
          <w:sz w:val="17"/>
          <w:szCs w:val="17"/>
        </w:rPr>
        <w:t xml:space="preserve"> r. - I</w:t>
      </w:r>
      <w:r>
        <w:rPr>
          <w:rFonts w:ascii="Arial" w:hAnsi="Arial" w:cs="Arial"/>
          <w:b/>
          <w:sz w:val="17"/>
          <w:szCs w:val="17"/>
        </w:rPr>
        <w:t>V</w:t>
      </w:r>
      <w:r w:rsidRPr="0031643E">
        <w:rPr>
          <w:rFonts w:ascii="Arial" w:hAnsi="Arial" w:cs="Arial"/>
          <w:b/>
          <w:sz w:val="17"/>
          <w:szCs w:val="17"/>
        </w:rPr>
        <w:t xml:space="preserve"> przetarg.</w:t>
      </w:r>
    </w:p>
    <w:p w14:paraId="3024763F" w14:textId="77777777" w:rsidR="00FC36F2" w:rsidRPr="008A5B86" w:rsidRDefault="00FC36F2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</w:p>
    <w:p w14:paraId="7707C427" w14:textId="77777777" w:rsidR="005842C0" w:rsidRPr="008A5B86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32D0BB59" w14:textId="77777777" w:rsidR="005842C0" w:rsidRDefault="005842C0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Bliższych informacji na temat działek przeznaczonych do sprzedaży można uzyskać w UG Pysznica, ul. Wolności 322 pok. nr 6 lub </w:t>
      </w:r>
      <w:r w:rsidRPr="008A5B86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br/>
        <w:t>tel. 0-15 841-09-34 w godz. pracy Urzędu.</w:t>
      </w:r>
    </w:p>
    <w:p w14:paraId="13D8DB0E" w14:textId="77777777" w:rsidR="0031643E" w:rsidRPr="008A5B86" w:rsidRDefault="0031643E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</w:p>
    <w:p w14:paraId="208BB5AB" w14:textId="77777777" w:rsidR="005842C0" w:rsidRPr="008A5B86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2048CD68" w14:textId="77777777" w:rsidR="00C157D3" w:rsidRPr="00055132" w:rsidRDefault="00C157D3" w:rsidP="00C157D3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055132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7" w:history="1">
        <w:r w:rsidRPr="00055132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https://pysznica.pl/</w:t>
        </w:r>
      </w:hyperlink>
      <w:r w:rsidRPr="00055132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oraz na stronie BIP Gminy Pysznica </w:t>
      </w:r>
      <w:hyperlink r:id="rId8" w:history="1">
        <w:r w:rsidRPr="00055132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https://pysznica.bip.gmina.pl</w:t>
        </w:r>
      </w:hyperlink>
      <w:r w:rsidRPr="00055132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– zakładka Gospodarka nieruchomościami – przetargi na okres co najmniej </w:t>
      </w:r>
      <w:r w:rsidRPr="00055132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 xml:space="preserve">30 dni tj. od dnia </w:t>
      </w:r>
      <w:r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22</w:t>
      </w:r>
      <w:r w:rsidRPr="00055132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.05.2024 r.</w:t>
      </w:r>
      <w:r w:rsidRPr="00055132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a także </w:t>
      </w:r>
      <w:r w:rsidRPr="00055132">
        <w:rPr>
          <w:rFonts w:ascii="Arial" w:hAnsi="Arial" w:cs="Arial"/>
          <w:color w:val="000000"/>
          <w:sz w:val="17"/>
          <w:szCs w:val="17"/>
          <w:shd w:val="clear" w:color="auto" w:fill="FFFFFF"/>
        </w:rPr>
        <w:t>publikuje się w prasie codziennej ogólnokrajowej „monitorurzedowy.pl”. Ponadto informację o przetargu publikuje się w prasie lokalnej „Tygodniku Sztafeta”.</w:t>
      </w:r>
    </w:p>
    <w:p w14:paraId="5206569A" w14:textId="091D5D2B" w:rsidR="00144183" w:rsidRPr="005842C0" w:rsidRDefault="008A5B86" w:rsidP="005842C0">
      <w:pPr>
        <w:pStyle w:val="Tekstpodstawowy"/>
        <w:ind w:right="2551"/>
        <w:jc w:val="left"/>
        <w:rPr>
          <w:rFonts w:ascii="Arial" w:hAnsi="Arial" w:cs="Arial"/>
          <w:sz w:val="16"/>
        </w:rPr>
      </w:pPr>
      <w:r w:rsidRPr="00235AAE">
        <w:rPr>
          <w:rFonts w:ascii="Arial" w:hAnsi="Arial" w:cs="Arial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2C9FD91" wp14:editId="3D5FB5B3">
                <wp:simplePos x="0" y="0"/>
                <wp:positionH relativeFrom="column">
                  <wp:posOffset>4876165</wp:posOffset>
                </wp:positionH>
                <wp:positionV relativeFrom="paragraph">
                  <wp:posOffset>78946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3780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080A7A5" w14:textId="77777777" w:rsidR="005842C0" w:rsidRPr="005842C0" w:rsidRDefault="005842C0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E201D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FD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3.95pt;margin-top:6.2pt;width:92.65pt;height:37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apR7B3gAAAAkBAAAPAAAAZHJzL2Rvd25y&#10;ZXYueG1sTI/RToNAEEXfTfyHzZj4YuwiFijI0qiJxtfWfsDAToHI7hJ2W+jfOz7Zx8k9ufdMuV3M&#10;IM40+d5ZBU+rCATZxunetgoO3x+PGxA+oNU4OEsKLuRhW93elFhoN9sdnfehFVxifYEKuhDGQkrf&#10;dGTQr9xIlrOjmwwGPqdW6glnLjeDjKMolQZ7ywsdjvTeUfOzPxkFx6/5Icnn+jMcst06fcM+q91F&#10;qfu75fUFRKAl/MPwp8/qULFT7U5WezEoyNIsZ5SDeA2CgTx5jkHUCjZZArIq5fUH1S8A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WqUewd4AAAAJAQAADwAAAAAAAAAAAAAAAABNBAAA&#10;ZHJzL2Rvd25yZXYueG1sUEsFBgAAAAAEAAQA8wAAAFgFAAAAAA==&#10;" stroked="f">
                <v:textbox>
                  <w:txbxContent>
                    <w:p w14:paraId="7D003780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Wójt</w:t>
                      </w:r>
                    </w:p>
                    <w:p w14:paraId="1080A7A5" w14:textId="77777777" w:rsidR="005842C0" w:rsidRPr="005842C0" w:rsidRDefault="005842C0" w:rsidP="009F12D5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E201D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44183" w:rsidRPr="005842C0" w:rsidSect="005155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4058"/>
    <w:multiLevelType w:val="hybridMultilevel"/>
    <w:tmpl w:val="BBAC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CC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A4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936">
    <w:abstractNumId w:val="0"/>
  </w:num>
  <w:num w:numId="2" w16cid:durableId="2116362398">
    <w:abstractNumId w:val="5"/>
  </w:num>
  <w:num w:numId="3" w16cid:durableId="1664697845">
    <w:abstractNumId w:val="3"/>
  </w:num>
  <w:num w:numId="4" w16cid:durableId="2132162510">
    <w:abstractNumId w:val="4"/>
  </w:num>
  <w:num w:numId="5" w16cid:durableId="790050654">
    <w:abstractNumId w:val="1"/>
  </w:num>
  <w:num w:numId="6" w16cid:durableId="1980843281">
    <w:abstractNumId w:val="6"/>
  </w:num>
  <w:num w:numId="7" w16cid:durableId="124800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44"/>
    <w:rsid w:val="000026F2"/>
    <w:rsid w:val="00005CF7"/>
    <w:rsid w:val="00013002"/>
    <w:rsid w:val="00016301"/>
    <w:rsid w:val="000201DC"/>
    <w:rsid w:val="00050898"/>
    <w:rsid w:val="00065E5E"/>
    <w:rsid w:val="00073961"/>
    <w:rsid w:val="00083A1F"/>
    <w:rsid w:val="000952A3"/>
    <w:rsid w:val="000B7FE0"/>
    <w:rsid w:val="000C3BAB"/>
    <w:rsid w:val="000F382B"/>
    <w:rsid w:val="000F7F5F"/>
    <w:rsid w:val="00101E4F"/>
    <w:rsid w:val="00115A10"/>
    <w:rsid w:val="001179EB"/>
    <w:rsid w:val="00131178"/>
    <w:rsid w:val="0013671C"/>
    <w:rsid w:val="00136EDB"/>
    <w:rsid w:val="001429B4"/>
    <w:rsid w:val="00144183"/>
    <w:rsid w:val="0015603D"/>
    <w:rsid w:val="00161243"/>
    <w:rsid w:val="00185F9F"/>
    <w:rsid w:val="001C5CBF"/>
    <w:rsid w:val="001D1A14"/>
    <w:rsid w:val="001D71C4"/>
    <w:rsid w:val="001F5E9C"/>
    <w:rsid w:val="00235AAE"/>
    <w:rsid w:val="00241752"/>
    <w:rsid w:val="00271955"/>
    <w:rsid w:val="0028195D"/>
    <w:rsid w:val="00284001"/>
    <w:rsid w:val="00287458"/>
    <w:rsid w:val="002907D1"/>
    <w:rsid w:val="00291B07"/>
    <w:rsid w:val="002A6C61"/>
    <w:rsid w:val="002C0B4D"/>
    <w:rsid w:val="002C483E"/>
    <w:rsid w:val="002E70B1"/>
    <w:rsid w:val="002F3DE2"/>
    <w:rsid w:val="003007B4"/>
    <w:rsid w:val="00300B37"/>
    <w:rsid w:val="003055CF"/>
    <w:rsid w:val="00307DD2"/>
    <w:rsid w:val="0031643E"/>
    <w:rsid w:val="00333DAA"/>
    <w:rsid w:val="003358C6"/>
    <w:rsid w:val="0034553D"/>
    <w:rsid w:val="00355DE1"/>
    <w:rsid w:val="00362705"/>
    <w:rsid w:val="00362AE9"/>
    <w:rsid w:val="003726B5"/>
    <w:rsid w:val="00385A62"/>
    <w:rsid w:val="0039080A"/>
    <w:rsid w:val="003C3707"/>
    <w:rsid w:val="003D630D"/>
    <w:rsid w:val="003E0C40"/>
    <w:rsid w:val="003E13E3"/>
    <w:rsid w:val="003F06ED"/>
    <w:rsid w:val="003F3AA5"/>
    <w:rsid w:val="003F4ABC"/>
    <w:rsid w:val="003F72EA"/>
    <w:rsid w:val="003F76C7"/>
    <w:rsid w:val="00417D95"/>
    <w:rsid w:val="004317C2"/>
    <w:rsid w:val="0046696D"/>
    <w:rsid w:val="004911D3"/>
    <w:rsid w:val="004A3E9E"/>
    <w:rsid w:val="004A6C4D"/>
    <w:rsid w:val="004B0A82"/>
    <w:rsid w:val="004B78BE"/>
    <w:rsid w:val="004C3BA8"/>
    <w:rsid w:val="004D5C85"/>
    <w:rsid w:val="004E0BA8"/>
    <w:rsid w:val="004E6068"/>
    <w:rsid w:val="005155B2"/>
    <w:rsid w:val="00533DEB"/>
    <w:rsid w:val="005551EE"/>
    <w:rsid w:val="00557C1C"/>
    <w:rsid w:val="00563593"/>
    <w:rsid w:val="00566670"/>
    <w:rsid w:val="005716FB"/>
    <w:rsid w:val="005842C0"/>
    <w:rsid w:val="005926FA"/>
    <w:rsid w:val="005B411A"/>
    <w:rsid w:val="005D1EA6"/>
    <w:rsid w:val="005D335C"/>
    <w:rsid w:val="005D648E"/>
    <w:rsid w:val="005E41B0"/>
    <w:rsid w:val="005F0DE1"/>
    <w:rsid w:val="005F62C8"/>
    <w:rsid w:val="0061036D"/>
    <w:rsid w:val="00613A4A"/>
    <w:rsid w:val="00623C86"/>
    <w:rsid w:val="00630CB3"/>
    <w:rsid w:val="006417E4"/>
    <w:rsid w:val="00655AC8"/>
    <w:rsid w:val="006650E7"/>
    <w:rsid w:val="006915A5"/>
    <w:rsid w:val="006A563E"/>
    <w:rsid w:val="006B12DC"/>
    <w:rsid w:val="006C4B98"/>
    <w:rsid w:val="006C5F8C"/>
    <w:rsid w:val="006E7658"/>
    <w:rsid w:val="006F558E"/>
    <w:rsid w:val="00704438"/>
    <w:rsid w:val="00714347"/>
    <w:rsid w:val="00723D0D"/>
    <w:rsid w:val="00725AE8"/>
    <w:rsid w:val="00747990"/>
    <w:rsid w:val="0075675E"/>
    <w:rsid w:val="007576D0"/>
    <w:rsid w:val="00782294"/>
    <w:rsid w:val="007852C3"/>
    <w:rsid w:val="00796DD9"/>
    <w:rsid w:val="007A5C23"/>
    <w:rsid w:val="007E7153"/>
    <w:rsid w:val="00800077"/>
    <w:rsid w:val="00807BFD"/>
    <w:rsid w:val="0081208D"/>
    <w:rsid w:val="00830645"/>
    <w:rsid w:val="00831A41"/>
    <w:rsid w:val="0083517E"/>
    <w:rsid w:val="00836B6E"/>
    <w:rsid w:val="00837763"/>
    <w:rsid w:val="008423C0"/>
    <w:rsid w:val="008458E8"/>
    <w:rsid w:val="00847783"/>
    <w:rsid w:val="00873F85"/>
    <w:rsid w:val="0087528C"/>
    <w:rsid w:val="008756CF"/>
    <w:rsid w:val="00881486"/>
    <w:rsid w:val="00882901"/>
    <w:rsid w:val="0089301F"/>
    <w:rsid w:val="0089718D"/>
    <w:rsid w:val="008A5B86"/>
    <w:rsid w:val="008B34CD"/>
    <w:rsid w:val="008C0F74"/>
    <w:rsid w:val="008C6441"/>
    <w:rsid w:val="008E0471"/>
    <w:rsid w:val="008E0B4A"/>
    <w:rsid w:val="008F1755"/>
    <w:rsid w:val="008F3735"/>
    <w:rsid w:val="008F73EA"/>
    <w:rsid w:val="00900F84"/>
    <w:rsid w:val="00902784"/>
    <w:rsid w:val="0093301F"/>
    <w:rsid w:val="00947446"/>
    <w:rsid w:val="0095117F"/>
    <w:rsid w:val="00951395"/>
    <w:rsid w:val="009554AA"/>
    <w:rsid w:val="00963349"/>
    <w:rsid w:val="00995123"/>
    <w:rsid w:val="00997A34"/>
    <w:rsid w:val="009A1D9B"/>
    <w:rsid w:val="009A7980"/>
    <w:rsid w:val="009B6790"/>
    <w:rsid w:val="009B7872"/>
    <w:rsid w:val="009C023B"/>
    <w:rsid w:val="009C58A0"/>
    <w:rsid w:val="009D3B10"/>
    <w:rsid w:val="009E2663"/>
    <w:rsid w:val="009F12D5"/>
    <w:rsid w:val="009F1E19"/>
    <w:rsid w:val="009F6E72"/>
    <w:rsid w:val="00A21739"/>
    <w:rsid w:val="00A27C4E"/>
    <w:rsid w:val="00A52F36"/>
    <w:rsid w:val="00A65347"/>
    <w:rsid w:val="00A73B14"/>
    <w:rsid w:val="00AB19EE"/>
    <w:rsid w:val="00AD22FB"/>
    <w:rsid w:val="00AD5BBE"/>
    <w:rsid w:val="00AE2CEA"/>
    <w:rsid w:val="00B11376"/>
    <w:rsid w:val="00B24744"/>
    <w:rsid w:val="00B4031A"/>
    <w:rsid w:val="00B43050"/>
    <w:rsid w:val="00B516FD"/>
    <w:rsid w:val="00B5313D"/>
    <w:rsid w:val="00B5757E"/>
    <w:rsid w:val="00B63C06"/>
    <w:rsid w:val="00B71DBF"/>
    <w:rsid w:val="00BA1ED1"/>
    <w:rsid w:val="00BE3167"/>
    <w:rsid w:val="00BE7F21"/>
    <w:rsid w:val="00C00540"/>
    <w:rsid w:val="00C04E12"/>
    <w:rsid w:val="00C052CA"/>
    <w:rsid w:val="00C157D3"/>
    <w:rsid w:val="00C268E8"/>
    <w:rsid w:val="00C3033E"/>
    <w:rsid w:val="00C34407"/>
    <w:rsid w:val="00C354BF"/>
    <w:rsid w:val="00C4626B"/>
    <w:rsid w:val="00C56421"/>
    <w:rsid w:val="00C61FF6"/>
    <w:rsid w:val="00C64BEF"/>
    <w:rsid w:val="00C76C78"/>
    <w:rsid w:val="00C82779"/>
    <w:rsid w:val="00C8361C"/>
    <w:rsid w:val="00C90BDF"/>
    <w:rsid w:val="00CA3A16"/>
    <w:rsid w:val="00CA4033"/>
    <w:rsid w:val="00CB1482"/>
    <w:rsid w:val="00CC4260"/>
    <w:rsid w:val="00CD7268"/>
    <w:rsid w:val="00CE5539"/>
    <w:rsid w:val="00CE5AE4"/>
    <w:rsid w:val="00D1520B"/>
    <w:rsid w:val="00D1550C"/>
    <w:rsid w:val="00D354BE"/>
    <w:rsid w:val="00D710F3"/>
    <w:rsid w:val="00D740F7"/>
    <w:rsid w:val="00D84A2F"/>
    <w:rsid w:val="00D871D7"/>
    <w:rsid w:val="00D875FD"/>
    <w:rsid w:val="00DB3173"/>
    <w:rsid w:val="00DB7F14"/>
    <w:rsid w:val="00DC42EC"/>
    <w:rsid w:val="00DD4C0A"/>
    <w:rsid w:val="00DD591E"/>
    <w:rsid w:val="00E02739"/>
    <w:rsid w:val="00E1762E"/>
    <w:rsid w:val="00E22139"/>
    <w:rsid w:val="00E249E9"/>
    <w:rsid w:val="00E31DAA"/>
    <w:rsid w:val="00E3635D"/>
    <w:rsid w:val="00E4258C"/>
    <w:rsid w:val="00E46DB1"/>
    <w:rsid w:val="00E57273"/>
    <w:rsid w:val="00E63023"/>
    <w:rsid w:val="00E76F04"/>
    <w:rsid w:val="00E87510"/>
    <w:rsid w:val="00E911FE"/>
    <w:rsid w:val="00E9645A"/>
    <w:rsid w:val="00E966D1"/>
    <w:rsid w:val="00EA13F5"/>
    <w:rsid w:val="00EA3F5F"/>
    <w:rsid w:val="00EB24D6"/>
    <w:rsid w:val="00EC3B0F"/>
    <w:rsid w:val="00ED2CA4"/>
    <w:rsid w:val="00ED3D01"/>
    <w:rsid w:val="00ED5604"/>
    <w:rsid w:val="00F1021F"/>
    <w:rsid w:val="00F30099"/>
    <w:rsid w:val="00F422E8"/>
    <w:rsid w:val="00F42902"/>
    <w:rsid w:val="00F63438"/>
    <w:rsid w:val="00F64881"/>
    <w:rsid w:val="00F80941"/>
    <w:rsid w:val="00F85D3B"/>
    <w:rsid w:val="00F87270"/>
    <w:rsid w:val="00F92EA0"/>
    <w:rsid w:val="00F93D59"/>
    <w:rsid w:val="00FC021C"/>
    <w:rsid w:val="00FC2971"/>
    <w:rsid w:val="00FC36F2"/>
    <w:rsid w:val="00FE072B"/>
    <w:rsid w:val="00FE16D6"/>
    <w:rsid w:val="00FE32BE"/>
    <w:rsid w:val="00FF0AA0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679F"/>
  <w15:chartTrackingRefBased/>
  <w15:docId w15:val="{D52A3C48-0898-4959-A268-D8AC638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4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D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926FA"/>
    <w:rPr>
      <w:b/>
      <w:bCs/>
      <w:sz w:val="44"/>
    </w:rPr>
  </w:style>
  <w:style w:type="character" w:customStyle="1" w:styleId="TekstpodstawowyZnak">
    <w:name w:val="Tekst podstawowy Znak"/>
    <w:link w:val="Tekstpodstawowy"/>
    <w:semiHidden/>
    <w:rsid w:val="005926FA"/>
    <w:rPr>
      <w:b/>
      <w:sz w:val="24"/>
    </w:rPr>
  </w:style>
  <w:style w:type="character" w:customStyle="1" w:styleId="Tekstpodstawowy3Znak">
    <w:name w:val="Tekst podstawowy 3 Znak"/>
    <w:link w:val="Tekstpodstawowy3"/>
    <w:semiHidden/>
    <w:rsid w:val="005926FA"/>
    <w:rPr>
      <w:b/>
      <w:sz w:val="44"/>
    </w:rPr>
  </w:style>
  <w:style w:type="table" w:styleId="Tabela-Siatka">
    <w:name w:val="Table Grid"/>
    <w:basedOn w:val="Standardowy"/>
    <w:uiPriority w:val="39"/>
    <w:rsid w:val="00F92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5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441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bip.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ysznic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geoportal.gov.pl/imap/Imgp_2.html?locale=pl&amp;gui=new&amp;sessionID=72581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8C06-05EA-48BC-8ACB-A49D0E5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Pysznica</vt:lpstr>
    </vt:vector>
  </TitlesOfParts>
  <Company>Urząd Gminy w Pysznicy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Pysznica</dc:title>
  <dc:subject/>
  <dc:creator>Urząd Gminy w Pysznicy</dc:creator>
  <cp:keywords/>
  <dc:description/>
  <cp:lastModifiedBy>Urząd Gminy Pysznica</cp:lastModifiedBy>
  <cp:revision>8</cp:revision>
  <cp:lastPrinted>2024-05-22T10:19:00Z</cp:lastPrinted>
  <dcterms:created xsi:type="dcterms:W3CDTF">2023-12-22T09:28:00Z</dcterms:created>
  <dcterms:modified xsi:type="dcterms:W3CDTF">2024-05-22T10:24:00Z</dcterms:modified>
</cp:coreProperties>
</file>