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8060" w14:textId="47C077B0" w:rsidR="00190F06" w:rsidRDefault="00D16FFA" w:rsidP="00D16FFA">
      <w:pPr>
        <w:rPr>
          <w:bCs/>
          <w:color w:val="FF0000"/>
        </w:rPr>
      </w:pPr>
      <w:r>
        <w:rPr>
          <w:bCs/>
          <w:color w:val="FF0000"/>
        </w:rPr>
        <w:t>STAROSTA EŁCKI</w:t>
      </w:r>
    </w:p>
    <w:p w14:paraId="3DBC65CB" w14:textId="4BE8F9EB" w:rsidR="00D16FFA" w:rsidRDefault="00D16FFA" w:rsidP="00D16FFA">
      <w:pPr>
        <w:rPr>
          <w:bCs/>
          <w:color w:val="FF0000"/>
        </w:rPr>
      </w:pPr>
      <w:r>
        <w:rPr>
          <w:bCs/>
          <w:color w:val="FF0000"/>
        </w:rPr>
        <w:t>ul. Piłsudskiego 4</w:t>
      </w:r>
    </w:p>
    <w:p w14:paraId="43C88F47" w14:textId="2B131BA7" w:rsidR="00D16FFA" w:rsidRPr="00D16FFA" w:rsidRDefault="00D16FFA" w:rsidP="00D16FFA">
      <w:pPr>
        <w:rPr>
          <w:bCs/>
          <w:color w:val="FF0000"/>
        </w:rPr>
      </w:pPr>
      <w:r>
        <w:rPr>
          <w:bCs/>
          <w:color w:val="FF0000"/>
        </w:rPr>
        <w:t xml:space="preserve">19-300 EŁK </w:t>
      </w:r>
    </w:p>
    <w:p w14:paraId="53EE05AF" w14:textId="77777777" w:rsidR="00190F06" w:rsidRDefault="00190F06" w:rsidP="00F040A4">
      <w:pPr>
        <w:jc w:val="center"/>
        <w:rPr>
          <w:bCs/>
          <w:color w:val="FF0000"/>
        </w:rPr>
      </w:pPr>
    </w:p>
    <w:p w14:paraId="11D838F7" w14:textId="7ADEE46C" w:rsidR="00F4213C" w:rsidRDefault="00F4213C" w:rsidP="00F040A4">
      <w:pPr>
        <w:jc w:val="center"/>
        <w:rPr>
          <w:b/>
        </w:rPr>
      </w:pPr>
      <w:r>
        <w:rPr>
          <w:b/>
        </w:rPr>
        <w:t>OGŁOSZENIE</w:t>
      </w:r>
    </w:p>
    <w:p w14:paraId="2F0E1FB1" w14:textId="2C0CF238" w:rsidR="00F4213C" w:rsidRDefault="00F4213C" w:rsidP="00ED011B">
      <w:pPr>
        <w:jc w:val="center"/>
        <w:rPr>
          <w:b/>
        </w:rPr>
      </w:pPr>
      <w:r>
        <w:rPr>
          <w:b/>
        </w:rPr>
        <w:t>O PRZETARGU USTNYM</w:t>
      </w:r>
      <w:r w:rsidR="00ED444F">
        <w:rPr>
          <w:b/>
        </w:rPr>
        <w:t xml:space="preserve"> </w:t>
      </w:r>
      <w:r>
        <w:rPr>
          <w:b/>
        </w:rPr>
        <w:t>OGRANICZONYM</w:t>
      </w:r>
    </w:p>
    <w:p w14:paraId="4BE29979" w14:textId="77777777" w:rsidR="00F4213C" w:rsidRDefault="00F4213C" w:rsidP="00ED011B">
      <w:pPr>
        <w:jc w:val="center"/>
        <w:rPr>
          <w:b/>
        </w:rPr>
      </w:pPr>
    </w:p>
    <w:p w14:paraId="4F269E6F" w14:textId="77777777" w:rsidR="00F4213C" w:rsidRPr="00142C5A" w:rsidRDefault="00F4213C" w:rsidP="00F4213C">
      <w:pPr>
        <w:jc w:val="center"/>
      </w:pPr>
    </w:p>
    <w:p w14:paraId="0EEEF8F5" w14:textId="3B9CC70C" w:rsidR="00F4213C" w:rsidRDefault="00F4213C" w:rsidP="00C46C66">
      <w:pPr>
        <w:spacing w:line="276" w:lineRule="auto"/>
        <w:ind w:firstLine="709"/>
        <w:jc w:val="both"/>
      </w:pPr>
      <w:r w:rsidRPr="00142C5A">
        <w:t xml:space="preserve">Na podstawie art. </w:t>
      </w:r>
      <w:r w:rsidR="00ED444F">
        <w:t xml:space="preserve">37 ust. 1 i art. 40 ust. 1 </w:t>
      </w:r>
      <w:proofErr w:type="spellStart"/>
      <w:r w:rsidR="00ED444F">
        <w:t>ppkt</w:t>
      </w:r>
      <w:proofErr w:type="spellEnd"/>
      <w:r w:rsidR="00ED444F">
        <w:t xml:space="preserve"> 2) i ust 2a </w:t>
      </w:r>
      <w:r w:rsidRPr="00142C5A">
        <w:t>ustawy z dnia 21 sierpnia 1997 r.</w:t>
      </w:r>
      <w:r w:rsidR="00190F06">
        <w:br/>
      </w:r>
      <w:r w:rsidRPr="00142C5A">
        <w:t>o gospodarce nieruchomościami</w:t>
      </w:r>
      <w:r w:rsidR="00E47AC7">
        <w:t xml:space="preserve"> </w:t>
      </w:r>
      <w:r w:rsidRPr="00142C5A">
        <w:t>(</w:t>
      </w:r>
      <w:proofErr w:type="spellStart"/>
      <w:r w:rsidRPr="00142C5A">
        <w:t>t.j</w:t>
      </w:r>
      <w:proofErr w:type="spellEnd"/>
      <w:r w:rsidRPr="00142C5A">
        <w:t>. Dz. U</w:t>
      </w:r>
      <w:r w:rsidR="00ED444F">
        <w:t xml:space="preserve"> </w:t>
      </w:r>
      <w:r w:rsidRPr="00142C5A">
        <w:t>z 20</w:t>
      </w:r>
      <w:r>
        <w:t>2</w:t>
      </w:r>
      <w:r w:rsidR="006C4709">
        <w:t>1</w:t>
      </w:r>
      <w:r w:rsidRPr="00142C5A">
        <w:t xml:space="preserve"> r. poz. </w:t>
      </w:r>
      <w:r w:rsidR="006C4709">
        <w:t>1899</w:t>
      </w:r>
      <w:r w:rsidRPr="00142C5A">
        <w:t>)  Starosta Ełki wykonujący zadania z zakresu administracji rządowej ogłasza</w:t>
      </w:r>
      <w:r>
        <w:t xml:space="preserve"> </w:t>
      </w:r>
      <w:r w:rsidRPr="00142C5A">
        <w:t>I przetarg ustny ograniczony na sprzedaż</w:t>
      </w:r>
      <w:r w:rsidR="006359E7">
        <w:t xml:space="preserve"> udziału w części ¼ w</w:t>
      </w:r>
      <w:r w:rsidRPr="00142C5A">
        <w:t xml:space="preserve"> nieruchomości</w:t>
      </w:r>
      <w:r>
        <w:t xml:space="preserve"> gruntowej</w:t>
      </w:r>
      <w:r w:rsidRPr="00142C5A">
        <w:t xml:space="preserve"> stanowiącej  własność Skarbu Państwa  oznaczonej w ewidencji gruntów i budynków jako </w:t>
      </w:r>
      <w:r>
        <w:t xml:space="preserve">działka nr </w:t>
      </w:r>
      <w:r w:rsidR="00F4142E">
        <w:t>275/1</w:t>
      </w:r>
      <w:r>
        <w:t xml:space="preserve"> </w:t>
      </w:r>
      <w:r w:rsidR="00E47AC7">
        <w:t xml:space="preserve"> </w:t>
      </w:r>
      <w:r>
        <w:t xml:space="preserve">o pow. </w:t>
      </w:r>
      <w:r w:rsidR="007177B1">
        <w:t>0</w:t>
      </w:r>
      <w:r w:rsidR="00F4142E">
        <w:t>,3331</w:t>
      </w:r>
      <w:r>
        <w:t xml:space="preserve"> ha, położona w obrębie </w:t>
      </w:r>
      <w:r w:rsidR="00F4142E">
        <w:t>Woszczele</w:t>
      </w:r>
      <w:r>
        <w:t xml:space="preserve"> gm.</w:t>
      </w:r>
      <w:r w:rsidR="00F4142E">
        <w:t xml:space="preserve"> EŁK </w:t>
      </w:r>
      <w:r>
        <w:t xml:space="preserve">, </w:t>
      </w:r>
      <w:r w:rsidRPr="00142C5A">
        <w:t xml:space="preserve"> opisan</w:t>
      </w:r>
      <w:r>
        <w:t>a</w:t>
      </w:r>
      <w:r w:rsidRPr="00142C5A">
        <w:t xml:space="preserve"> w księdze wieczystej nr OL1E/0</w:t>
      </w:r>
      <w:r>
        <w:t>0</w:t>
      </w:r>
      <w:r w:rsidRPr="00142C5A">
        <w:t>0</w:t>
      </w:r>
      <w:r w:rsidR="00F4142E">
        <w:t>4316/9</w:t>
      </w:r>
      <w:r w:rsidRPr="00142C5A">
        <w:t xml:space="preserve"> </w:t>
      </w:r>
      <w:r w:rsidRPr="00F4213C">
        <w:t xml:space="preserve">zgodnie z Zarządzeniem </w:t>
      </w:r>
      <w:r w:rsidR="00953FB0">
        <w:t xml:space="preserve">nr </w:t>
      </w:r>
      <w:r w:rsidR="00F4142E">
        <w:t>97</w:t>
      </w:r>
      <w:r w:rsidRPr="00F4213C">
        <w:t xml:space="preserve"> Wojewody Warmińsko</w:t>
      </w:r>
      <w:r w:rsidR="00987F47">
        <w:t>-</w:t>
      </w:r>
      <w:r w:rsidRPr="00F4213C">
        <w:t xml:space="preserve">Mazurskiego </w:t>
      </w:r>
      <w:r w:rsidR="00903C3D">
        <w:t xml:space="preserve"> </w:t>
      </w:r>
      <w:r w:rsidRPr="00F4213C">
        <w:t xml:space="preserve">z dnia </w:t>
      </w:r>
      <w:r w:rsidR="00F4142E">
        <w:t>8 marca</w:t>
      </w:r>
      <w:r w:rsidRPr="00F4213C">
        <w:t xml:space="preserve"> 202</w:t>
      </w:r>
      <w:r w:rsidR="00953FB0">
        <w:t>2</w:t>
      </w:r>
      <w:r w:rsidRPr="00F4213C">
        <w:t xml:space="preserve"> r.</w:t>
      </w:r>
    </w:p>
    <w:p w14:paraId="7221F373" w14:textId="1B8588D4" w:rsidR="00F4142E" w:rsidRDefault="00F4142E" w:rsidP="00C46C66">
      <w:pPr>
        <w:spacing w:line="276" w:lineRule="auto"/>
        <w:ind w:firstLine="709"/>
        <w:jc w:val="both"/>
      </w:pPr>
    </w:p>
    <w:tbl>
      <w:tblPr>
        <w:tblW w:w="1064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2410"/>
        <w:gridCol w:w="1134"/>
        <w:gridCol w:w="1276"/>
        <w:gridCol w:w="2268"/>
        <w:gridCol w:w="1998"/>
      </w:tblGrid>
      <w:tr w:rsidR="00C377E0" w:rsidRPr="00BB1DCB" w14:paraId="1636618B" w14:textId="77777777" w:rsidTr="002C2CEC">
        <w:trPr>
          <w:cantSplit/>
          <w:trHeight w:val="560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14:paraId="3DABADC9" w14:textId="26A60E65" w:rsidR="00C377E0" w:rsidRPr="00BB1DCB" w:rsidRDefault="00C377E0" w:rsidP="006B3646">
            <w:pPr>
              <w:spacing w:line="360" w:lineRule="exact"/>
              <w:ind w:left="-71" w:right="26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Lp</w:t>
            </w:r>
            <w:r w:rsidR="006B3646">
              <w:rPr>
                <w:b/>
                <w:bCs/>
                <w:sz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7E36DAD9" w14:textId="77777777" w:rsidR="00C377E0" w:rsidRPr="00BB1DCB" w:rsidRDefault="00C377E0" w:rsidP="001277D8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Współ</w:t>
            </w:r>
            <w:proofErr w:type="spellEnd"/>
            <w:r>
              <w:rPr>
                <w:b/>
                <w:bCs/>
                <w:sz w:val="20"/>
              </w:rPr>
              <w:t>-w</w:t>
            </w:r>
            <w:r w:rsidRPr="00BB1DCB">
              <w:rPr>
                <w:b/>
                <w:bCs/>
                <w:sz w:val="20"/>
              </w:rPr>
              <w:t>łasność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1976A714" w14:textId="77777777" w:rsidR="00C377E0" w:rsidRPr="00BB1DCB" w:rsidRDefault="00C377E0" w:rsidP="001277D8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Położenie</w:t>
            </w:r>
            <w:r>
              <w:rPr>
                <w:b/>
                <w:bCs/>
                <w:sz w:val="20"/>
              </w:rPr>
              <w:t xml:space="preserve"> </w:t>
            </w:r>
            <w:r w:rsidRPr="00BB1DCB">
              <w:rPr>
                <w:b/>
                <w:bCs/>
                <w:sz w:val="20"/>
              </w:rPr>
              <w:t>i opis nieruchomości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77F461A2" w14:textId="77777777" w:rsidR="00C377E0" w:rsidRDefault="00C377E0" w:rsidP="001277D8">
            <w:pPr>
              <w:pStyle w:val="Nagwek2"/>
            </w:pPr>
            <w:r w:rsidRPr="00BB1DCB">
              <w:t>Nr KW</w:t>
            </w:r>
          </w:p>
          <w:p w14:paraId="75528CF8" w14:textId="77777777" w:rsidR="00C377E0" w:rsidRDefault="00C377E0" w:rsidP="001277D8">
            <w:pPr>
              <w:pStyle w:val="Nagwek2"/>
            </w:pPr>
            <w:r w:rsidRPr="00BB1DCB">
              <w:t>Nr działki</w:t>
            </w:r>
          </w:p>
          <w:p w14:paraId="7AF6EF84" w14:textId="77777777" w:rsidR="00C377E0" w:rsidRPr="00BC2723" w:rsidRDefault="00C377E0" w:rsidP="001277D8">
            <w:pPr>
              <w:rPr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14:paraId="6E4F8AAB" w14:textId="77777777" w:rsidR="00C377E0" w:rsidRDefault="00C377E0" w:rsidP="001277D8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 xml:space="preserve">Pow. </w:t>
            </w:r>
          </w:p>
          <w:p w14:paraId="7C87BBBA" w14:textId="77777777" w:rsidR="00C377E0" w:rsidRPr="00BB1DCB" w:rsidRDefault="00C377E0" w:rsidP="001277D8">
            <w:pPr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działki w ha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7E39C747" w14:textId="77777777" w:rsidR="00C377E0" w:rsidRDefault="00C377E0" w:rsidP="001277D8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Przeznaczenie nieruchomości</w:t>
            </w:r>
          </w:p>
          <w:p w14:paraId="099EE09D" w14:textId="77777777" w:rsidR="00C377E0" w:rsidRPr="00BB1DCB" w:rsidRDefault="00C377E0" w:rsidP="001277D8">
            <w:pPr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 xml:space="preserve"> i sposób jej zagospodarowania</w:t>
            </w:r>
          </w:p>
        </w:tc>
        <w:tc>
          <w:tcPr>
            <w:tcW w:w="1998" w:type="dxa"/>
            <w:vMerge w:val="restart"/>
            <w:tcBorders>
              <w:top w:val="double" w:sz="4" w:space="0" w:color="auto"/>
            </w:tcBorders>
          </w:tcPr>
          <w:p w14:paraId="2F1B9737" w14:textId="53D613FD" w:rsidR="00C377E0" w:rsidRDefault="00C377E0" w:rsidP="001277D8">
            <w:pPr>
              <w:pStyle w:val="Nagwek2"/>
              <w:rPr>
                <w:szCs w:val="20"/>
              </w:rPr>
            </w:pPr>
            <w:r>
              <w:rPr>
                <w:szCs w:val="20"/>
              </w:rPr>
              <w:t xml:space="preserve">Cena wywoławcza udziału Skarbu Państwa  </w:t>
            </w:r>
            <w:r>
              <w:rPr>
                <w:szCs w:val="20"/>
              </w:rPr>
              <w:br/>
              <w:t xml:space="preserve">w nieruchomości </w:t>
            </w:r>
            <w:r w:rsidRPr="00FA4F24">
              <w:rPr>
                <w:szCs w:val="20"/>
              </w:rPr>
              <w:t xml:space="preserve"> </w:t>
            </w:r>
          </w:p>
          <w:p w14:paraId="5084EAF4" w14:textId="77777777" w:rsidR="00C377E0" w:rsidRPr="005E0EF6" w:rsidRDefault="00C377E0" w:rsidP="001277D8">
            <w:pPr>
              <w:rPr>
                <w:b/>
                <w:bCs/>
                <w:lang w:eastAsia="pl-PL"/>
              </w:rPr>
            </w:pPr>
            <w:r w:rsidRPr="005E0EF6">
              <w:rPr>
                <w:b/>
                <w:bCs/>
                <w:lang w:eastAsia="pl-PL"/>
              </w:rPr>
              <w:t xml:space="preserve">w części ¼ </w:t>
            </w:r>
          </w:p>
        </w:tc>
      </w:tr>
      <w:tr w:rsidR="00C377E0" w:rsidRPr="00BB1DCB" w14:paraId="0894B74D" w14:textId="77777777" w:rsidTr="002C2CEC">
        <w:trPr>
          <w:cantSplit/>
          <w:trHeight w:val="360"/>
        </w:trPr>
        <w:tc>
          <w:tcPr>
            <w:tcW w:w="425" w:type="dxa"/>
            <w:vMerge/>
            <w:tcBorders>
              <w:bottom w:val="single" w:sz="8" w:space="0" w:color="auto"/>
            </w:tcBorders>
          </w:tcPr>
          <w:p w14:paraId="3F48CF3D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67432469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</w:tcPr>
          <w:p w14:paraId="15D8B467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358D883E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11B08E8A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3D58F9B5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8" w:type="dxa"/>
            <w:vMerge/>
            <w:tcBorders>
              <w:bottom w:val="single" w:sz="8" w:space="0" w:color="auto"/>
            </w:tcBorders>
          </w:tcPr>
          <w:p w14:paraId="197069BA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C377E0" w:rsidRPr="00BB1DCB" w14:paraId="4B67A9FE" w14:textId="77777777" w:rsidTr="002C2CEC">
        <w:trPr>
          <w:cantSplit/>
          <w:trHeight w:val="264"/>
        </w:trPr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14:paraId="4C48B753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1CADC764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51C711CE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5D02FACE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65C8B0C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374F3FE0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  <w:sz w:val="20"/>
              </w:rPr>
            </w:pPr>
            <w:r w:rsidRPr="00BB1DCB">
              <w:rPr>
                <w:b/>
                <w:bCs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</w:tcPr>
          <w:p w14:paraId="76523928" w14:textId="77777777" w:rsidR="00C377E0" w:rsidRPr="00BB1DCB" w:rsidRDefault="00C377E0" w:rsidP="001277D8">
            <w:pPr>
              <w:spacing w:line="360" w:lineRule="exact"/>
              <w:jc w:val="center"/>
              <w:rPr>
                <w:b/>
                <w:bCs/>
              </w:rPr>
            </w:pPr>
            <w:r w:rsidRPr="00BB1DCB">
              <w:rPr>
                <w:b/>
                <w:bCs/>
              </w:rPr>
              <w:t>8</w:t>
            </w:r>
          </w:p>
        </w:tc>
      </w:tr>
      <w:tr w:rsidR="00C377E0" w:rsidRPr="00BB1DCB" w14:paraId="7CC1F05C" w14:textId="77777777" w:rsidTr="002C2CEC">
        <w:trPr>
          <w:cantSplit/>
          <w:trHeight w:val="7124"/>
        </w:trPr>
        <w:tc>
          <w:tcPr>
            <w:tcW w:w="425" w:type="dxa"/>
            <w:tcBorders>
              <w:top w:val="single" w:sz="8" w:space="0" w:color="auto"/>
              <w:bottom w:val="double" w:sz="4" w:space="0" w:color="auto"/>
            </w:tcBorders>
          </w:tcPr>
          <w:p w14:paraId="09184DCF" w14:textId="7B2082F8" w:rsidR="00C377E0" w:rsidRPr="00BB1DCB" w:rsidRDefault="00C377E0" w:rsidP="006B3646">
            <w:pPr>
              <w:spacing w:line="360" w:lineRule="exact"/>
              <w:jc w:val="center"/>
              <w:rPr>
                <w:sz w:val="20"/>
              </w:rPr>
            </w:pPr>
            <w:r w:rsidRPr="00BB1DCB">
              <w:rPr>
                <w:sz w:val="20"/>
              </w:rPr>
              <w:t>1</w:t>
            </w:r>
            <w:r w:rsidR="006B3646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</w:tcPr>
          <w:p w14:paraId="046DA16B" w14:textId="77777777" w:rsidR="00C377E0" w:rsidRPr="002D0122" w:rsidRDefault="00C377E0" w:rsidP="001277D8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Skarb Państwa</w:t>
            </w:r>
          </w:p>
          <w:p w14:paraId="7CD64794" w14:textId="77777777" w:rsidR="00C377E0" w:rsidRPr="002D0122" w:rsidRDefault="00C377E0" w:rsidP="001277D8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w udziale ¼ </w:t>
            </w:r>
          </w:p>
          <w:p w14:paraId="4385046F" w14:textId="77777777" w:rsidR="00C377E0" w:rsidRPr="002D0122" w:rsidRDefault="00C377E0" w:rsidP="001277D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double" w:sz="4" w:space="0" w:color="auto"/>
            </w:tcBorders>
          </w:tcPr>
          <w:p w14:paraId="6107DFFA" w14:textId="77777777" w:rsidR="00C377E0" w:rsidRPr="002D0122" w:rsidRDefault="00C377E0" w:rsidP="002C2CEC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- Gmina Ełk, </w:t>
            </w:r>
          </w:p>
          <w:p w14:paraId="062868DE" w14:textId="77777777" w:rsidR="00C377E0" w:rsidRPr="002D0122" w:rsidRDefault="00C377E0" w:rsidP="002C2CEC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- obręb Woszczele</w:t>
            </w:r>
          </w:p>
          <w:p w14:paraId="574BC777" w14:textId="77777777" w:rsidR="00C377E0" w:rsidRPr="002D0122" w:rsidRDefault="00C377E0" w:rsidP="002C2CEC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-Nieruchomość położona jest w obszarze skupionej zabudowy wsi  </w:t>
            </w:r>
          </w:p>
          <w:p w14:paraId="113010A0" w14:textId="77777777" w:rsidR="00C377E0" w:rsidRPr="002D0122" w:rsidRDefault="00C377E0" w:rsidP="002C2CEC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-nieruchomość jest niezabudowana. </w:t>
            </w:r>
          </w:p>
          <w:p w14:paraId="7BFA8F48" w14:textId="77777777" w:rsidR="00C377E0" w:rsidRPr="002D0122" w:rsidRDefault="00C377E0" w:rsidP="002C2CEC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- Kształt działki zbliżony do prostokąta, rzeźba terenu ogólnie równa. </w:t>
            </w:r>
          </w:p>
          <w:p w14:paraId="5657B018" w14:textId="77777777" w:rsidR="00C377E0" w:rsidRPr="002D0122" w:rsidRDefault="00C377E0" w:rsidP="002C2CEC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Działka stanowi grunt rolny, nie jest objęta miejscowym planem zagospodarowania przestrzennego.</w:t>
            </w:r>
          </w:p>
          <w:p w14:paraId="7D0B7B21" w14:textId="77777777" w:rsidR="00C377E0" w:rsidRPr="002D0122" w:rsidRDefault="00C377E0" w:rsidP="002C2CEC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Najbliższe otoczenie nieruchomości stanowią działki zabudowane budynkami mieszkalnymi i niemieszkalnymi z dostępem do drogi publicznej o nawierzchni gruntowej.</w:t>
            </w:r>
          </w:p>
          <w:p w14:paraId="09712E71" w14:textId="4818D8DE" w:rsidR="002C2CEC" w:rsidRPr="002D0122" w:rsidRDefault="00C377E0" w:rsidP="002C2CEC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Nieruchomość wolna jest od jakichkolwiek obciążeń</w:t>
            </w:r>
            <w:r w:rsidR="002C2CE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</w:tcPr>
          <w:p w14:paraId="560F62A4" w14:textId="77777777" w:rsidR="00C377E0" w:rsidRPr="002D0122" w:rsidRDefault="00C377E0" w:rsidP="001277D8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Księga wieczysta</w:t>
            </w:r>
          </w:p>
          <w:p w14:paraId="27481342" w14:textId="77777777" w:rsidR="00C377E0" w:rsidRPr="002D0122" w:rsidRDefault="00C377E0" w:rsidP="001277D8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OL1E</w:t>
            </w:r>
          </w:p>
          <w:p w14:paraId="1317911D" w14:textId="77777777" w:rsidR="00C377E0" w:rsidRPr="002D0122" w:rsidRDefault="00C377E0" w:rsidP="001277D8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/00004316/9</w:t>
            </w:r>
          </w:p>
          <w:p w14:paraId="0A26B99D" w14:textId="77777777" w:rsidR="00C377E0" w:rsidRPr="002D0122" w:rsidRDefault="00C377E0" w:rsidP="001277D8">
            <w:pPr>
              <w:rPr>
                <w:sz w:val="22"/>
                <w:szCs w:val="22"/>
              </w:rPr>
            </w:pPr>
          </w:p>
          <w:p w14:paraId="0AAB78BB" w14:textId="77777777" w:rsidR="00C377E0" w:rsidRPr="002D0122" w:rsidRDefault="00C377E0" w:rsidP="001277D8">
            <w:pPr>
              <w:jc w:val="center"/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działka nr</w:t>
            </w:r>
          </w:p>
          <w:p w14:paraId="6F43565A" w14:textId="4C402819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    275/1 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</w:tcPr>
          <w:p w14:paraId="0554B249" w14:textId="77777777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0,3331 ha</w:t>
            </w:r>
          </w:p>
          <w:p w14:paraId="1D484A1A" w14:textId="77777777" w:rsidR="00C377E0" w:rsidRPr="002D0122" w:rsidRDefault="00C377E0" w:rsidP="001277D8">
            <w:pPr>
              <w:rPr>
                <w:sz w:val="22"/>
                <w:szCs w:val="22"/>
              </w:rPr>
            </w:pPr>
          </w:p>
          <w:p w14:paraId="794F8808" w14:textId="228F6BE8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klasyfi</w:t>
            </w:r>
            <w:r w:rsidR="002C2CEC">
              <w:rPr>
                <w:sz w:val="22"/>
                <w:szCs w:val="22"/>
              </w:rPr>
              <w:t>kacj</w:t>
            </w:r>
            <w:r w:rsidRPr="002D0122">
              <w:rPr>
                <w:sz w:val="22"/>
                <w:szCs w:val="22"/>
              </w:rPr>
              <w:t xml:space="preserve">a, </w:t>
            </w:r>
          </w:p>
          <w:p w14:paraId="7B228AC5" w14:textId="1A0F6592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Tereny </w:t>
            </w:r>
            <w:r w:rsidR="002C2CEC">
              <w:rPr>
                <w:sz w:val="22"/>
                <w:szCs w:val="22"/>
              </w:rPr>
              <w:t>r</w:t>
            </w:r>
            <w:r w:rsidRPr="002D0122">
              <w:rPr>
                <w:sz w:val="22"/>
                <w:szCs w:val="22"/>
              </w:rPr>
              <w:t>o</w:t>
            </w:r>
            <w:r w:rsidR="002C2CEC">
              <w:rPr>
                <w:sz w:val="22"/>
                <w:szCs w:val="22"/>
              </w:rPr>
              <w:t>l</w:t>
            </w:r>
            <w:r w:rsidRPr="002D0122">
              <w:rPr>
                <w:sz w:val="22"/>
                <w:szCs w:val="22"/>
              </w:rPr>
              <w:t xml:space="preserve">ne: </w:t>
            </w:r>
          </w:p>
          <w:p w14:paraId="7732AF1C" w14:textId="50A6B622" w:rsidR="00C377E0" w:rsidRPr="002D0122" w:rsidRDefault="00C377E0" w:rsidP="001277D8">
            <w:pPr>
              <w:rPr>
                <w:sz w:val="22"/>
                <w:szCs w:val="22"/>
              </w:rPr>
            </w:pPr>
            <w:proofErr w:type="spellStart"/>
            <w:r w:rsidRPr="002D0122">
              <w:rPr>
                <w:sz w:val="22"/>
                <w:szCs w:val="22"/>
              </w:rPr>
              <w:t>RV</w:t>
            </w:r>
            <w:proofErr w:type="spellEnd"/>
            <w:r w:rsidRPr="002D0122">
              <w:rPr>
                <w:sz w:val="22"/>
                <w:szCs w:val="22"/>
              </w:rPr>
              <w:t xml:space="preserve"> – 0,0714 ha</w:t>
            </w:r>
          </w:p>
          <w:p w14:paraId="6E74B5A3" w14:textId="77777777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RVI – 0,2617 ha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</w:tcPr>
          <w:p w14:paraId="0E6920C9" w14:textId="77777777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Zgodnie ze studium uwarunkowań i kierunków zagospodarowania przestrzennego gm. Ełk przedmiotowa działka położona jest w strefie wielofunkcyjnej zabudowy wsi. </w:t>
            </w:r>
          </w:p>
          <w:p w14:paraId="721B6827" w14:textId="05E35EB4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Działka jest niezagospodarowana</w:t>
            </w:r>
            <w:r>
              <w:rPr>
                <w:sz w:val="22"/>
                <w:szCs w:val="22"/>
              </w:rPr>
              <w:t>,</w:t>
            </w:r>
            <w:r w:rsidRPr="002D0122">
              <w:rPr>
                <w:sz w:val="22"/>
                <w:szCs w:val="22"/>
              </w:rPr>
              <w:t xml:space="preserve"> </w:t>
            </w:r>
          </w:p>
          <w:p w14:paraId="207795A8" w14:textId="77777777" w:rsidR="00C377E0" w:rsidRDefault="00C377E0" w:rsidP="00127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D0122">
              <w:rPr>
                <w:sz w:val="22"/>
                <w:szCs w:val="22"/>
              </w:rPr>
              <w:t>osiada dostęp do drogi stanowiącej własność Gminy Ełk.</w:t>
            </w:r>
          </w:p>
          <w:p w14:paraId="26B520AE" w14:textId="544F1B13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Działka jest nieuzbrojona, istnieje możliwość podłączenia do infrastruktury technicznej: </w:t>
            </w:r>
          </w:p>
          <w:p w14:paraId="0DB3741A" w14:textId="77777777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-gminnej sieci wodociągowej</w:t>
            </w:r>
          </w:p>
          <w:p w14:paraId="6CE3DB60" w14:textId="7C63DFCB" w:rsidR="002C2CEC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- sieci elektroenergetycznej </w:t>
            </w:r>
          </w:p>
          <w:p w14:paraId="330C277E" w14:textId="77777777" w:rsidR="00C377E0" w:rsidRPr="00E96725" w:rsidRDefault="00C377E0" w:rsidP="001277D8">
            <w:pPr>
              <w:rPr>
                <w:sz w:val="22"/>
                <w:szCs w:val="22"/>
              </w:rPr>
            </w:pPr>
          </w:p>
          <w:p w14:paraId="7453D154" w14:textId="77777777" w:rsidR="00C377E0" w:rsidRPr="00E96725" w:rsidRDefault="00C377E0" w:rsidP="001277D8">
            <w:pPr>
              <w:rPr>
                <w:sz w:val="22"/>
                <w:szCs w:val="22"/>
              </w:rPr>
            </w:pPr>
          </w:p>
          <w:p w14:paraId="7D402766" w14:textId="77777777" w:rsidR="00C377E0" w:rsidRDefault="00C377E0" w:rsidP="001277D8">
            <w:pPr>
              <w:rPr>
                <w:sz w:val="22"/>
                <w:szCs w:val="22"/>
              </w:rPr>
            </w:pPr>
          </w:p>
          <w:p w14:paraId="21348053" w14:textId="77777777" w:rsidR="00C377E0" w:rsidRDefault="00C377E0" w:rsidP="001277D8">
            <w:pPr>
              <w:rPr>
                <w:sz w:val="22"/>
                <w:szCs w:val="22"/>
              </w:rPr>
            </w:pPr>
          </w:p>
          <w:p w14:paraId="762BA4D3" w14:textId="77777777" w:rsidR="00C377E0" w:rsidRPr="00E96725" w:rsidRDefault="00C377E0" w:rsidP="001277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double" w:sz="4" w:space="0" w:color="auto"/>
            </w:tcBorders>
          </w:tcPr>
          <w:p w14:paraId="035F2718" w14:textId="77777777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65.</w:t>
            </w:r>
            <w:r>
              <w:rPr>
                <w:sz w:val="22"/>
                <w:szCs w:val="22"/>
              </w:rPr>
              <w:t>75</w:t>
            </w:r>
            <w:r w:rsidRPr="002D0122">
              <w:rPr>
                <w:sz w:val="22"/>
                <w:szCs w:val="22"/>
              </w:rPr>
              <w:t xml:space="preserve">0,00 zł </w:t>
            </w:r>
          </w:p>
          <w:p w14:paraId="746B81AE" w14:textId="77777777" w:rsidR="00C377E0" w:rsidRPr="002D0122" w:rsidRDefault="00C377E0" w:rsidP="001277D8">
            <w:pPr>
              <w:rPr>
                <w:sz w:val="22"/>
                <w:szCs w:val="22"/>
              </w:rPr>
            </w:pPr>
          </w:p>
          <w:p w14:paraId="5B5AF8BB" w14:textId="77777777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 xml:space="preserve">Sprzedaż działki zwolniona jest z podatku od towarów i usług </w:t>
            </w:r>
          </w:p>
          <w:p w14:paraId="4C04F5F9" w14:textId="77777777" w:rsidR="00C377E0" w:rsidRPr="002D0122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Zgodnie z art43 ust. 1 pkt 9 ustawy z dnia 11 marca 2004 r. o podatku od towarów i usług (Dz. U. z 2021 poz. 685</w:t>
            </w:r>
          </w:p>
          <w:p w14:paraId="755D3BB4" w14:textId="77777777" w:rsidR="00C377E0" w:rsidRPr="002D0122" w:rsidRDefault="00C377E0" w:rsidP="001277D8">
            <w:pPr>
              <w:rPr>
                <w:sz w:val="22"/>
                <w:szCs w:val="22"/>
              </w:rPr>
            </w:pPr>
          </w:p>
          <w:p w14:paraId="64E33DAD" w14:textId="7EB4D077" w:rsidR="00C377E0" w:rsidRPr="001020F7" w:rsidRDefault="00C377E0" w:rsidP="001277D8">
            <w:pPr>
              <w:rPr>
                <w:sz w:val="22"/>
                <w:szCs w:val="22"/>
              </w:rPr>
            </w:pPr>
            <w:r w:rsidRPr="002D0122">
              <w:rPr>
                <w:sz w:val="22"/>
                <w:szCs w:val="22"/>
              </w:rPr>
              <w:t>Cena sprzedaży zaoferowana w przetargu podlega zapłacie jednorazowo w terminie 14 dni licząc od dnia zamknięcia przetargu.</w:t>
            </w:r>
          </w:p>
        </w:tc>
      </w:tr>
    </w:tbl>
    <w:p w14:paraId="1F1A1E3C" w14:textId="77777777" w:rsidR="00C377E0" w:rsidRDefault="00C377E0" w:rsidP="002C2CEC">
      <w:pPr>
        <w:spacing w:line="360" w:lineRule="auto"/>
        <w:jc w:val="both"/>
        <w:rPr>
          <w:b/>
        </w:rPr>
      </w:pPr>
    </w:p>
    <w:p w14:paraId="3E1E0CFA" w14:textId="2C832127" w:rsidR="00AD0692" w:rsidRDefault="00AD0692" w:rsidP="00AD0692">
      <w:pPr>
        <w:widowControl/>
        <w:numPr>
          <w:ilvl w:val="0"/>
          <w:numId w:val="7"/>
        </w:numPr>
        <w:suppressAutoHyphens w:val="0"/>
        <w:ind w:left="180" w:right="-218" w:hanging="360"/>
        <w:jc w:val="both"/>
        <w:rPr>
          <w:sz w:val="22"/>
          <w:szCs w:val="22"/>
        </w:rPr>
      </w:pPr>
      <w:r w:rsidRPr="00262529">
        <w:rPr>
          <w:sz w:val="22"/>
          <w:szCs w:val="22"/>
        </w:rPr>
        <w:t>Uzasadnienie formy przetargu ograniczonego:</w:t>
      </w:r>
    </w:p>
    <w:p w14:paraId="3D9BAF62" w14:textId="3B449220" w:rsidR="00A317BF" w:rsidRPr="00262529" w:rsidRDefault="00A317BF" w:rsidP="00A317BF">
      <w:pPr>
        <w:widowControl/>
        <w:suppressAutoHyphens w:val="0"/>
        <w:ind w:left="180" w:right="-2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Nieruchomość stanowi współwłasność </w:t>
      </w:r>
      <w:r w:rsidR="00675313">
        <w:rPr>
          <w:sz w:val="22"/>
          <w:szCs w:val="22"/>
        </w:rPr>
        <w:t xml:space="preserve">trzech osób fizycznych </w:t>
      </w:r>
      <w:r w:rsidR="004A7D19">
        <w:rPr>
          <w:sz w:val="22"/>
          <w:szCs w:val="22"/>
        </w:rPr>
        <w:t xml:space="preserve">i </w:t>
      </w:r>
      <w:r>
        <w:rPr>
          <w:sz w:val="22"/>
          <w:szCs w:val="22"/>
        </w:rPr>
        <w:t>Skarb</w:t>
      </w:r>
      <w:r w:rsidR="006B3646">
        <w:rPr>
          <w:sz w:val="22"/>
          <w:szCs w:val="22"/>
        </w:rPr>
        <w:t>u</w:t>
      </w:r>
      <w:r>
        <w:rPr>
          <w:sz w:val="22"/>
          <w:szCs w:val="22"/>
        </w:rPr>
        <w:t xml:space="preserve"> Państwa</w:t>
      </w:r>
      <w:r w:rsidR="004A7D19">
        <w:rPr>
          <w:sz w:val="22"/>
          <w:szCs w:val="22"/>
        </w:rPr>
        <w:t xml:space="preserve"> w udziałach po ¼ każdy. </w:t>
      </w:r>
      <w:r w:rsidR="00833F33">
        <w:rPr>
          <w:sz w:val="22"/>
          <w:szCs w:val="22"/>
        </w:rPr>
        <w:t xml:space="preserve"> Przedmiotem przetargu jest zbycie udziału w ¼ części nieruchomości</w:t>
      </w:r>
      <w:r w:rsidR="006B3646">
        <w:rPr>
          <w:sz w:val="22"/>
          <w:szCs w:val="22"/>
        </w:rPr>
        <w:t>,</w:t>
      </w:r>
      <w:r w:rsidR="00833F33">
        <w:rPr>
          <w:sz w:val="22"/>
          <w:szCs w:val="22"/>
        </w:rPr>
        <w:t xml:space="preserve"> dlatego też zasadne jest ograniczenie przetargu do współwłaścicieli nieruchomości</w:t>
      </w:r>
      <w:r w:rsidR="00F3772E">
        <w:rPr>
          <w:sz w:val="22"/>
          <w:szCs w:val="22"/>
        </w:rPr>
        <w:t xml:space="preserve">. </w:t>
      </w:r>
      <w:r w:rsidR="00C453EE">
        <w:rPr>
          <w:sz w:val="22"/>
          <w:szCs w:val="22"/>
        </w:rPr>
        <w:t xml:space="preserve">Sprzedaż udziału Skarbu Państwa na rzecz współwłaściciela gwarantuje </w:t>
      </w:r>
      <w:r w:rsidR="001D2D65">
        <w:rPr>
          <w:sz w:val="22"/>
          <w:szCs w:val="22"/>
        </w:rPr>
        <w:t>racjonalne zagospodarowanie nieruchomości.</w:t>
      </w:r>
    </w:p>
    <w:p w14:paraId="092D8643" w14:textId="1A1BFA00" w:rsidR="004A7D19" w:rsidRDefault="00AD0692" w:rsidP="004A7D19">
      <w:pPr>
        <w:ind w:left="180"/>
        <w:jc w:val="both"/>
        <w:rPr>
          <w:sz w:val="22"/>
          <w:szCs w:val="22"/>
        </w:rPr>
      </w:pPr>
      <w:r w:rsidRPr="00262529">
        <w:rPr>
          <w:sz w:val="22"/>
          <w:szCs w:val="22"/>
        </w:rPr>
        <w:t xml:space="preserve">Do przetargu przystąpić mogą </w:t>
      </w:r>
      <w:r w:rsidR="004A7D19">
        <w:rPr>
          <w:sz w:val="22"/>
          <w:szCs w:val="22"/>
        </w:rPr>
        <w:t>osoby</w:t>
      </w:r>
      <w:r w:rsidRPr="00262529">
        <w:rPr>
          <w:sz w:val="22"/>
          <w:szCs w:val="22"/>
        </w:rPr>
        <w:t xml:space="preserve">, które posiadają </w:t>
      </w:r>
      <w:r w:rsidR="004A7D19">
        <w:rPr>
          <w:sz w:val="22"/>
          <w:szCs w:val="22"/>
        </w:rPr>
        <w:t>udział we współwłasności</w:t>
      </w:r>
      <w:r w:rsidR="00C453EE">
        <w:rPr>
          <w:sz w:val="22"/>
          <w:szCs w:val="22"/>
        </w:rPr>
        <w:t xml:space="preserve"> </w:t>
      </w:r>
      <w:r w:rsidRPr="00262529">
        <w:rPr>
          <w:sz w:val="22"/>
          <w:szCs w:val="22"/>
        </w:rPr>
        <w:t xml:space="preserve">nieruchomości </w:t>
      </w:r>
      <w:r w:rsidR="00C453EE">
        <w:rPr>
          <w:sz w:val="22"/>
          <w:szCs w:val="22"/>
        </w:rPr>
        <w:t>będącej przedmiotem przetargu</w:t>
      </w:r>
      <w:r w:rsidR="00190F06">
        <w:rPr>
          <w:sz w:val="22"/>
          <w:szCs w:val="22"/>
        </w:rPr>
        <w:t>.</w:t>
      </w:r>
    </w:p>
    <w:p w14:paraId="7B12D255" w14:textId="0216259F" w:rsidR="00AD0692" w:rsidRPr="00967A3E" w:rsidRDefault="00AD0692" w:rsidP="004A7D19">
      <w:pPr>
        <w:ind w:left="180"/>
        <w:jc w:val="both"/>
        <w:rPr>
          <w:sz w:val="22"/>
          <w:szCs w:val="22"/>
        </w:rPr>
      </w:pPr>
      <w:r w:rsidRPr="00967A3E">
        <w:rPr>
          <w:sz w:val="22"/>
          <w:szCs w:val="22"/>
        </w:rPr>
        <w:lastRenderedPageBreak/>
        <w:t xml:space="preserve">Przetarg odbędzie się w dniu </w:t>
      </w:r>
      <w:r w:rsidR="00F3772E" w:rsidRPr="00967A3E">
        <w:rPr>
          <w:b/>
          <w:bCs/>
          <w:sz w:val="22"/>
          <w:szCs w:val="22"/>
        </w:rPr>
        <w:t xml:space="preserve">8 lipca 2022 </w:t>
      </w:r>
      <w:r w:rsidRPr="00967A3E">
        <w:rPr>
          <w:b/>
          <w:bCs/>
          <w:sz w:val="22"/>
          <w:szCs w:val="22"/>
        </w:rPr>
        <w:t>r.</w:t>
      </w:r>
      <w:r w:rsidRPr="00967A3E">
        <w:rPr>
          <w:sz w:val="22"/>
          <w:szCs w:val="22"/>
        </w:rPr>
        <w:t xml:space="preserve"> o godz. </w:t>
      </w:r>
      <w:r w:rsidRPr="00967A3E">
        <w:rPr>
          <w:b/>
          <w:sz w:val="22"/>
          <w:szCs w:val="22"/>
        </w:rPr>
        <w:t>10</w:t>
      </w:r>
      <w:r w:rsidRPr="00967A3E">
        <w:rPr>
          <w:b/>
          <w:bCs/>
          <w:sz w:val="22"/>
          <w:szCs w:val="22"/>
          <w:vertAlign w:val="superscript"/>
        </w:rPr>
        <w:t xml:space="preserve"> 00</w:t>
      </w:r>
      <w:r w:rsidRPr="00967A3E">
        <w:rPr>
          <w:sz w:val="22"/>
          <w:szCs w:val="22"/>
        </w:rPr>
        <w:t xml:space="preserve"> w Starostwie Powiatowym w Ełku, ul. Piłsudskiego 4, pokój nr 18 – sala konferencyjna (niski parter).</w:t>
      </w:r>
    </w:p>
    <w:p w14:paraId="1C1C0F67" w14:textId="7AC5B195" w:rsidR="00AD0692" w:rsidRDefault="00AD0692" w:rsidP="00AD0692">
      <w:pPr>
        <w:widowControl/>
        <w:numPr>
          <w:ilvl w:val="0"/>
          <w:numId w:val="7"/>
        </w:numPr>
        <w:suppressAutoHyphens w:val="0"/>
        <w:ind w:left="180" w:right="-218" w:hanging="360"/>
        <w:jc w:val="both"/>
        <w:rPr>
          <w:sz w:val="22"/>
          <w:szCs w:val="22"/>
        </w:rPr>
      </w:pPr>
      <w:r>
        <w:rPr>
          <w:sz w:val="22"/>
          <w:szCs w:val="22"/>
        </w:rPr>
        <w:t>Zgłoszeni</w:t>
      </w:r>
      <w:r w:rsidR="00967A3E">
        <w:rPr>
          <w:sz w:val="22"/>
          <w:szCs w:val="22"/>
        </w:rPr>
        <w:t>a</w:t>
      </w:r>
      <w:r w:rsidRPr="00A033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uczestnictwa w przetargu należy </w:t>
      </w:r>
      <w:r w:rsidR="00F3772E">
        <w:rPr>
          <w:sz w:val="22"/>
          <w:szCs w:val="22"/>
        </w:rPr>
        <w:t>dokonać</w:t>
      </w:r>
      <w:r>
        <w:rPr>
          <w:sz w:val="22"/>
          <w:szCs w:val="22"/>
        </w:rPr>
        <w:t xml:space="preserve"> na piśmie w kancelarii Starostwa Powiatowego w Ełku przy </w:t>
      </w:r>
      <w:r w:rsidR="00F3772E">
        <w:rPr>
          <w:sz w:val="22"/>
          <w:szCs w:val="22"/>
        </w:rPr>
        <w:br/>
      </w:r>
      <w:r>
        <w:rPr>
          <w:sz w:val="22"/>
          <w:szCs w:val="22"/>
        </w:rPr>
        <w:t xml:space="preserve">ul. Piłsudskiego 4 (pokój nr 127) do dnia </w:t>
      </w:r>
      <w:r w:rsidR="00F3772E">
        <w:rPr>
          <w:b/>
          <w:sz w:val="22"/>
          <w:szCs w:val="22"/>
        </w:rPr>
        <w:t>27 czerwca 2022</w:t>
      </w:r>
      <w:r w:rsidRPr="00B72753">
        <w:rPr>
          <w:b/>
          <w:sz w:val="22"/>
          <w:szCs w:val="22"/>
        </w:rPr>
        <w:t xml:space="preserve"> r.</w:t>
      </w:r>
    </w:p>
    <w:p w14:paraId="7B879418" w14:textId="38CEB85F" w:rsidR="00AD0692" w:rsidRPr="00B72753" w:rsidRDefault="00AD0692" w:rsidP="00AD0692">
      <w:pPr>
        <w:widowControl/>
        <w:numPr>
          <w:ilvl w:val="0"/>
          <w:numId w:val="7"/>
        </w:numPr>
        <w:suppressAutoHyphens w:val="0"/>
        <w:ind w:left="180" w:right="-218" w:hanging="360"/>
        <w:jc w:val="both"/>
        <w:rPr>
          <w:sz w:val="22"/>
          <w:szCs w:val="22"/>
        </w:rPr>
      </w:pPr>
      <w:r w:rsidRPr="00A033A1">
        <w:rPr>
          <w:sz w:val="22"/>
          <w:szCs w:val="22"/>
        </w:rPr>
        <w:t>Na podstawie przedłożonych zgłoszeń, komisja przetargowa sprawdzi, czy oferenci spełniają warunki przetargowe</w:t>
      </w:r>
      <w:r w:rsidR="00F3772E">
        <w:rPr>
          <w:sz w:val="22"/>
          <w:szCs w:val="22"/>
        </w:rPr>
        <w:br/>
      </w:r>
      <w:r w:rsidRPr="00A033A1">
        <w:rPr>
          <w:sz w:val="22"/>
          <w:szCs w:val="22"/>
        </w:rPr>
        <w:t xml:space="preserve"> i kwalifikuje ich do uczestnictwa w przetargu, wywieszając listę osób zakwalifikowanych na tablicy ogłoszeń </w:t>
      </w:r>
      <w:r w:rsidR="00F3772E">
        <w:rPr>
          <w:sz w:val="22"/>
          <w:szCs w:val="22"/>
        </w:rPr>
        <w:br/>
      </w:r>
      <w:r w:rsidRPr="00A033A1">
        <w:rPr>
          <w:sz w:val="22"/>
          <w:szCs w:val="22"/>
        </w:rPr>
        <w:t>w Starostwie Powiatowym w Ełku przy ul. Piłsudskiego 5</w:t>
      </w:r>
      <w:r w:rsidR="00F3772E">
        <w:rPr>
          <w:sz w:val="22"/>
          <w:szCs w:val="22"/>
        </w:rPr>
        <w:t xml:space="preserve"> oraz na stronie</w:t>
      </w:r>
      <w:r w:rsidR="00D61005">
        <w:rPr>
          <w:sz w:val="22"/>
          <w:szCs w:val="22"/>
        </w:rPr>
        <w:t xml:space="preserve"> internetowej</w:t>
      </w:r>
      <w:r w:rsidR="00C916FD">
        <w:rPr>
          <w:sz w:val="22"/>
          <w:szCs w:val="22"/>
        </w:rPr>
        <w:t xml:space="preserve"> - </w:t>
      </w:r>
      <w:r w:rsidR="00D61005" w:rsidRPr="00C916FD">
        <w:rPr>
          <w:i/>
          <w:iCs/>
          <w:sz w:val="22"/>
          <w:szCs w:val="22"/>
        </w:rPr>
        <w:t>powiat.elk.pl</w:t>
      </w:r>
      <w:r w:rsidR="00D61005">
        <w:rPr>
          <w:sz w:val="22"/>
          <w:szCs w:val="22"/>
        </w:rPr>
        <w:t xml:space="preserve"> i</w:t>
      </w:r>
      <w:r w:rsidR="00F3772E">
        <w:rPr>
          <w:sz w:val="22"/>
          <w:szCs w:val="22"/>
        </w:rPr>
        <w:t xml:space="preserve"> </w:t>
      </w:r>
      <w:r w:rsidR="00D61005">
        <w:rPr>
          <w:sz w:val="22"/>
          <w:szCs w:val="22"/>
        </w:rPr>
        <w:t xml:space="preserve">w biuletynie informacji publicznej </w:t>
      </w:r>
      <w:r w:rsidR="00F3772E">
        <w:rPr>
          <w:sz w:val="22"/>
          <w:szCs w:val="22"/>
        </w:rPr>
        <w:t>Starostwa Powiatowego w Ełku</w:t>
      </w:r>
      <w:r w:rsidR="00D61005">
        <w:rPr>
          <w:sz w:val="22"/>
          <w:szCs w:val="22"/>
        </w:rPr>
        <w:t xml:space="preserve"> </w:t>
      </w:r>
      <w:r w:rsidR="00202D83" w:rsidRPr="00C916FD">
        <w:rPr>
          <w:i/>
          <w:iCs/>
          <w:sz w:val="22"/>
          <w:szCs w:val="22"/>
        </w:rPr>
        <w:t>bip.powiat.elk.pl,</w:t>
      </w:r>
      <w:r w:rsidR="00C916FD">
        <w:rPr>
          <w:sz w:val="22"/>
          <w:szCs w:val="22"/>
        </w:rPr>
        <w:t xml:space="preserve"> </w:t>
      </w:r>
      <w:r w:rsidRPr="00A033A1">
        <w:rPr>
          <w:sz w:val="22"/>
          <w:szCs w:val="22"/>
        </w:rPr>
        <w:t>nie później niż na jeden dzień przed wyznaczonym terminem przetargu.</w:t>
      </w:r>
    </w:p>
    <w:p w14:paraId="402F4093" w14:textId="3E2C4FF2" w:rsidR="007D0C39" w:rsidRPr="00BB53DC" w:rsidRDefault="00AD0692" w:rsidP="007D0C39">
      <w:pPr>
        <w:widowControl/>
        <w:numPr>
          <w:ilvl w:val="0"/>
          <w:numId w:val="7"/>
        </w:numPr>
        <w:suppressAutoHyphens w:val="0"/>
        <w:ind w:left="180" w:right="-218" w:hanging="360"/>
        <w:jc w:val="both"/>
        <w:rPr>
          <w:sz w:val="22"/>
        </w:rPr>
      </w:pPr>
      <w:r w:rsidRPr="00967A3E">
        <w:rPr>
          <w:bCs/>
          <w:sz w:val="22"/>
        </w:rPr>
        <w:t>Warunkiem dopuszczenia do przetargu</w:t>
      </w:r>
      <w:r>
        <w:rPr>
          <w:sz w:val="22"/>
        </w:rPr>
        <w:t xml:space="preserve"> jest wpłacenie </w:t>
      </w:r>
      <w:r w:rsidRPr="00967A3E">
        <w:rPr>
          <w:b/>
          <w:bCs/>
          <w:sz w:val="22"/>
        </w:rPr>
        <w:t>wadium w</w:t>
      </w:r>
      <w:r w:rsidR="00C916FD" w:rsidRPr="00967A3E">
        <w:rPr>
          <w:b/>
          <w:bCs/>
          <w:sz w:val="22"/>
        </w:rPr>
        <w:t xml:space="preserve"> wysokości</w:t>
      </w:r>
      <w:r w:rsidR="00C916FD">
        <w:rPr>
          <w:sz w:val="22"/>
        </w:rPr>
        <w:t xml:space="preserve"> </w:t>
      </w:r>
      <w:r w:rsidR="00C916FD" w:rsidRPr="00C916FD">
        <w:rPr>
          <w:b/>
          <w:bCs/>
          <w:sz w:val="22"/>
        </w:rPr>
        <w:t>13</w:t>
      </w:r>
      <w:r w:rsidR="006B3646">
        <w:rPr>
          <w:b/>
          <w:bCs/>
          <w:sz w:val="22"/>
        </w:rPr>
        <w:t xml:space="preserve"> </w:t>
      </w:r>
      <w:r w:rsidR="00C916FD" w:rsidRPr="00C916FD">
        <w:rPr>
          <w:b/>
          <w:bCs/>
          <w:sz w:val="22"/>
        </w:rPr>
        <w:t>000</w:t>
      </w:r>
      <w:r w:rsidRPr="00C916FD">
        <w:rPr>
          <w:b/>
          <w:bCs/>
          <w:sz w:val="22"/>
        </w:rPr>
        <w:t>,</w:t>
      </w:r>
      <w:r w:rsidR="00C916FD" w:rsidRPr="00C916FD">
        <w:rPr>
          <w:b/>
          <w:bCs/>
          <w:sz w:val="22"/>
        </w:rPr>
        <w:t>00 zł</w:t>
      </w:r>
      <w:r w:rsidR="00C916FD">
        <w:rPr>
          <w:sz w:val="22"/>
        </w:rPr>
        <w:t xml:space="preserve"> </w:t>
      </w:r>
      <w:r>
        <w:rPr>
          <w:sz w:val="22"/>
        </w:rPr>
        <w:t>na konto Starostwa Powiatowego w Ełku</w:t>
      </w:r>
      <w:r w:rsidR="007D0C39">
        <w:rPr>
          <w:sz w:val="22"/>
        </w:rPr>
        <w:t xml:space="preserve"> </w:t>
      </w:r>
      <w:r w:rsidRPr="007D0C39">
        <w:rPr>
          <w:b/>
          <w:bCs/>
          <w:sz w:val="22"/>
        </w:rPr>
        <w:t>Podlasko – Mazurski Bank Spółdzielczy w Zabłudowie O/Ełk Nr 68 8099 0004 0090 7354 2000 0050</w:t>
      </w:r>
      <w:r w:rsidRPr="007D0C39">
        <w:rPr>
          <w:sz w:val="22"/>
        </w:rPr>
        <w:t xml:space="preserve"> (data wpływu na rachunek Starostwa Powiatowego w Ełku nie może być późniejsza niż do dnia </w:t>
      </w:r>
      <w:r w:rsidRPr="007D0C39">
        <w:rPr>
          <w:b/>
          <w:bCs/>
          <w:sz w:val="22"/>
        </w:rPr>
        <w:t xml:space="preserve"> </w:t>
      </w:r>
      <w:r w:rsidR="00C916FD">
        <w:rPr>
          <w:b/>
          <w:bCs/>
          <w:sz w:val="22"/>
        </w:rPr>
        <w:br/>
      </w:r>
      <w:r w:rsidR="007D0C39" w:rsidRPr="007D0C39">
        <w:rPr>
          <w:b/>
          <w:bCs/>
          <w:sz w:val="22"/>
        </w:rPr>
        <w:t>4 lipca 2022</w:t>
      </w:r>
      <w:r w:rsidRPr="007D0C39">
        <w:rPr>
          <w:b/>
          <w:bCs/>
          <w:sz w:val="22"/>
        </w:rPr>
        <w:t xml:space="preserve"> r.</w:t>
      </w:r>
      <w:r w:rsidRPr="007D0C39">
        <w:rPr>
          <w:sz w:val="22"/>
        </w:rPr>
        <w:t>)</w:t>
      </w:r>
    </w:p>
    <w:p w14:paraId="258B4BF3" w14:textId="6D83EE46" w:rsidR="00AD0692" w:rsidRDefault="00AD0692" w:rsidP="00AD0692">
      <w:pPr>
        <w:widowControl/>
        <w:numPr>
          <w:ilvl w:val="0"/>
          <w:numId w:val="7"/>
        </w:numPr>
        <w:tabs>
          <w:tab w:val="left" w:pos="-180"/>
        </w:tabs>
        <w:suppressAutoHyphens w:val="0"/>
        <w:ind w:left="180" w:right="-218" w:hanging="360"/>
        <w:jc w:val="both"/>
        <w:rPr>
          <w:sz w:val="22"/>
        </w:rPr>
      </w:pPr>
      <w:r>
        <w:rPr>
          <w:sz w:val="22"/>
        </w:rPr>
        <w:t>Przed rozpoczęciem licytacji uczestnicy zobowiązani są przedłożyć komisji przetargowej dowód wpłaty wadium, dokument tożsamości oraz pełnomocnictwo</w:t>
      </w:r>
      <w:r w:rsidR="00C916FD">
        <w:rPr>
          <w:sz w:val="22"/>
        </w:rPr>
        <w:t xml:space="preserve"> w przypadku </w:t>
      </w:r>
      <w:r w:rsidR="00F25AA7">
        <w:rPr>
          <w:sz w:val="22"/>
        </w:rPr>
        <w:t xml:space="preserve">reprezentowania w licytacji osoby uprawnionej do udziału </w:t>
      </w:r>
      <w:r w:rsidR="00F25AA7">
        <w:rPr>
          <w:sz w:val="22"/>
        </w:rPr>
        <w:br/>
        <w:t>w przetargu</w:t>
      </w:r>
      <w:r>
        <w:rPr>
          <w:sz w:val="22"/>
        </w:rPr>
        <w:t>.</w:t>
      </w:r>
    </w:p>
    <w:p w14:paraId="6BED7494" w14:textId="77777777" w:rsidR="00AD0692" w:rsidRDefault="00AD0692" w:rsidP="00AD0692">
      <w:pPr>
        <w:widowControl/>
        <w:numPr>
          <w:ilvl w:val="0"/>
          <w:numId w:val="7"/>
        </w:numPr>
        <w:suppressAutoHyphens w:val="0"/>
        <w:ind w:left="180" w:right="-218" w:hanging="360"/>
        <w:jc w:val="both"/>
        <w:rPr>
          <w:b/>
          <w:sz w:val="22"/>
        </w:rPr>
      </w:pPr>
      <w:r w:rsidRPr="00967A3E">
        <w:rPr>
          <w:bCs/>
          <w:sz w:val="22"/>
        </w:rPr>
        <w:t>Wpłacone wadium nie podlega zwrotowi</w:t>
      </w:r>
      <w:r>
        <w:rPr>
          <w:bCs/>
          <w:sz w:val="22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>jeżeli osoba ustalona jako nabywca nieruchomości zrezygnuje z nabycia nieruchomości lub nie przystąpi bez usprawiedliwienia do zawarcia umowy w wyznaczonym miejscu i terminie.</w:t>
      </w:r>
    </w:p>
    <w:p w14:paraId="0F9E40AA" w14:textId="274ACE03" w:rsidR="00AD0692" w:rsidRDefault="00AD0692" w:rsidP="00AD0692">
      <w:pPr>
        <w:widowControl/>
        <w:numPr>
          <w:ilvl w:val="0"/>
          <w:numId w:val="7"/>
        </w:numPr>
        <w:tabs>
          <w:tab w:val="left" w:pos="-180"/>
        </w:tabs>
        <w:suppressAutoHyphens w:val="0"/>
        <w:ind w:left="180" w:right="-218" w:hanging="360"/>
        <w:jc w:val="both"/>
        <w:rPr>
          <w:sz w:val="22"/>
        </w:rPr>
      </w:pPr>
      <w:r>
        <w:rPr>
          <w:sz w:val="22"/>
        </w:rPr>
        <w:t xml:space="preserve">Wpłacone wadium zwraca się uczestnikom, którzy przegrali przetarg, niezwłocznie, jednak nie później niż przed upływem 3 dni od dnia zakończenia licytacji oraz w </w:t>
      </w:r>
      <w:proofErr w:type="gramStart"/>
      <w:r>
        <w:rPr>
          <w:sz w:val="22"/>
        </w:rPr>
        <w:t>przypadku</w:t>
      </w:r>
      <w:proofErr w:type="gramEnd"/>
      <w:r>
        <w:rPr>
          <w:sz w:val="22"/>
        </w:rPr>
        <w:t xml:space="preserve"> gdy odwołano przetarg, unieważniono przetarg, zakończono przetarg wynikiem negatywnym.</w:t>
      </w:r>
    </w:p>
    <w:p w14:paraId="452366A4" w14:textId="7BCE222D" w:rsidR="00AD0692" w:rsidRDefault="00AD0692" w:rsidP="00AD0692">
      <w:pPr>
        <w:widowControl/>
        <w:numPr>
          <w:ilvl w:val="0"/>
          <w:numId w:val="7"/>
        </w:numPr>
        <w:tabs>
          <w:tab w:val="left" w:pos="-180"/>
        </w:tabs>
        <w:suppressAutoHyphens w:val="0"/>
        <w:ind w:left="180" w:right="-218" w:hanging="360"/>
        <w:jc w:val="both"/>
        <w:rPr>
          <w:sz w:val="22"/>
        </w:rPr>
      </w:pPr>
      <w:r>
        <w:rPr>
          <w:sz w:val="22"/>
        </w:rPr>
        <w:t>Przetarg jest skuteczny bez względu na liczbę uczestników, jeżeli przynajmniej jeden uczestnik zaoferował co najmniej jedno postąpienie powyżej ceny wywoławczej.</w:t>
      </w:r>
    </w:p>
    <w:p w14:paraId="7A2573D9" w14:textId="77777777" w:rsidR="00AD0692" w:rsidRDefault="00AD0692" w:rsidP="00AD0692">
      <w:pPr>
        <w:widowControl/>
        <w:numPr>
          <w:ilvl w:val="0"/>
          <w:numId w:val="7"/>
        </w:numPr>
        <w:tabs>
          <w:tab w:val="left" w:pos="-180"/>
        </w:tabs>
        <w:suppressAutoHyphens w:val="0"/>
        <w:ind w:left="180" w:right="-218" w:hanging="360"/>
        <w:jc w:val="both"/>
        <w:rPr>
          <w:sz w:val="22"/>
        </w:rPr>
      </w:pPr>
      <w:r>
        <w:rPr>
          <w:sz w:val="22"/>
        </w:rPr>
        <w:t xml:space="preserve">O wysokości postąpienia decydują uczestnicy przetargu, z </w:t>
      </w:r>
      <w:proofErr w:type="gramStart"/>
      <w:r>
        <w:rPr>
          <w:sz w:val="22"/>
        </w:rPr>
        <w:t>tym</w:t>
      </w:r>
      <w:proofErr w:type="gramEnd"/>
      <w:r>
        <w:rPr>
          <w:sz w:val="22"/>
        </w:rPr>
        <w:t xml:space="preserve"> że postąpienie nie może wynosić mniej niż 1% ceny wywoławczej, z zaokrągleniem w górę do pełnych dziesiątek złotych.</w:t>
      </w:r>
    </w:p>
    <w:p w14:paraId="09DA369C" w14:textId="2E02176D" w:rsidR="00AD0692" w:rsidRDefault="00AD0692" w:rsidP="00AD0692">
      <w:pPr>
        <w:widowControl/>
        <w:numPr>
          <w:ilvl w:val="0"/>
          <w:numId w:val="7"/>
        </w:numPr>
        <w:tabs>
          <w:tab w:val="left" w:pos="-180"/>
        </w:tabs>
        <w:suppressAutoHyphens w:val="0"/>
        <w:ind w:left="180" w:right="-219" w:hanging="360"/>
        <w:jc w:val="both"/>
        <w:rPr>
          <w:sz w:val="22"/>
          <w:szCs w:val="22"/>
        </w:rPr>
      </w:pPr>
      <w:r w:rsidRPr="00A355DF">
        <w:rPr>
          <w:sz w:val="22"/>
          <w:szCs w:val="22"/>
        </w:rPr>
        <w:t>Uczestnicy przetargu zgła</w:t>
      </w:r>
      <w:r>
        <w:rPr>
          <w:sz w:val="22"/>
          <w:szCs w:val="22"/>
        </w:rPr>
        <w:t>szają ustnie kolejne oferowane</w:t>
      </w:r>
      <w:r w:rsidRPr="00A355DF">
        <w:rPr>
          <w:sz w:val="22"/>
          <w:szCs w:val="22"/>
        </w:rPr>
        <w:t xml:space="preserve"> ceny, dopóki mimo trzykrotnego wywołania</w:t>
      </w:r>
      <w:r>
        <w:rPr>
          <w:sz w:val="22"/>
          <w:szCs w:val="22"/>
        </w:rPr>
        <w:t xml:space="preserve"> ostatniej najwyższej ceny nie ma dalszych zgłoszeń wyższej ceny</w:t>
      </w:r>
      <w:r w:rsidRPr="00A355DF">
        <w:rPr>
          <w:sz w:val="22"/>
          <w:szCs w:val="22"/>
        </w:rPr>
        <w:t>. Po trzecim wywołaniu najwyższej zaof</w:t>
      </w:r>
      <w:r>
        <w:rPr>
          <w:sz w:val="22"/>
          <w:szCs w:val="22"/>
        </w:rPr>
        <w:t>erowanej ceny, dalsze zgłoszenia</w:t>
      </w:r>
      <w:r w:rsidRPr="00A355DF">
        <w:rPr>
          <w:sz w:val="22"/>
          <w:szCs w:val="22"/>
        </w:rPr>
        <w:t xml:space="preserve"> nie zostaną przyjęte.</w:t>
      </w:r>
    </w:p>
    <w:p w14:paraId="136DAC02" w14:textId="1DACB839" w:rsidR="00AD0692" w:rsidRDefault="00AD0692" w:rsidP="00AD0692">
      <w:pPr>
        <w:widowControl/>
        <w:numPr>
          <w:ilvl w:val="0"/>
          <w:numId w:val="7"/>
        </w:numPr>
        <w:tabs>
          <w:tab w:val="left" w:pos="-180"/>
        </w:tabs>
        <w:suppressAutoHyphens w:val="0"/>
        <w:ind w:left="180" w:right="-219" w:hanging="360"/>
        <w:jc w:val="both"/>
        <w:rPr>
          <w:sz w:val="22"/>
        </w:rPr>
      </w:pPr>
      <w:r>
        <w:rPr>
          <w:sz w:val="22"/>
          <w:szCs w:val="22"/>
        </w:rPr>
        <w:t>U</w:t>
      </w:r>
      <w:r w:rsidRPr="00A355DF">
        <w:rPr>
          <w:sz w:val="22"/>
          <w:szCs w:val="22"/>
        </w:rPr>
        <w:t>czestnik przetargu, który zaoferował najwyższą cenę nabycia nieruchomości zobowiązany jest do jej uiszczenia</w:t>
      </w:r>
      <w:r>
        <w:rPr>
          <w:sz w:val="22"/>
          <w:szCs w:val="22"/>
        </w:rPr>
        <w:t xml:space="preserve"> jednorazowo</w:t>
      </w:r>
      <w:r w:rsidRPr="00A355DF">
        <w:rPr>
          <w:sz w:val="22"/>
          <w:szCs w:val="22"/>
        </w:rPr>
        <w:t xml:space="preserve"> na konto wskazane przez sprzedającego przed zawarciem aktu notarialnego nie później jednak niż w terminie 14 dni licząc od dnia zakończenia procedury </w:t>
      </w:r>
      <w:r>
        <w:rPr>
          <w:sz w:val="22"/>
          <w:szCs w:val="22"/>
        </w:rPr>
        <w:t>p</w:t>
      </w:r>
      <w:r w:rsidRPr="00A355DF">
        <w:rPr>
          <w:sz w:val="22"/>
          <w:szCs w:val="22"/>
        </w:rPr>
        <w:t>rzetargowej</w:t>
      </w:r>
      <w:r>
        <w:rPr>
          <w:sz w:val="22"/>
          <w:szCs w:val="22"/>
        </w:rPr>
        <w:t>,</w:t>
      </w:r>
      <w:r w:rsidRPr="00A355DF">
        <w:rPr>
          <w:sz w:val="22"/>
          <w:szCs w:val="22"/>
        </w:rPr>
        <w:t xml:space="preserve"> za którą uważa się podpisanie protokołu z przetargu</w:t>
      </w:r>
      <w:r>
        <w:rPr>
          <w:sz w:val="22"/>
          <w:szCs w:val="22"/>
        </w:rPr>
        <w:t>. Wpłacone wadium zalicza się na poczet ceny nabycia nieruchomości.</w:t>
      </w:r>
    </w:p>
    <w:p w14:paraId="716C7814" w14:textId="5B631C27" w:rsidR="00AD0692" w:rsidRPr="00FC773B" w:rsidRDefault="00AD0692" w:rsidP="00AD0692">
      <w:pPr>
        <w:widowControl/>
        <w:numPr>
          <w:ilvl w:val="0"/>
          <w:numId w:val="7"/>
        </w:numPr>
        <w:tabs>
          <w:tab w:val="left" w:pos="180"/>
        </w:tabs>
        <w:suppressAutoHyphens w:val="0"/>
        <w:ind w:left="180" w:right="-219" w:hanging="360"/>
        <w:jc w:val="both"/>
        <w:rPr>
          <w:sz w:val="22"/>
          <w:szCs w:val="22"/>
        </w:rPr>
      </w:pPr>
      <w:r w:rsidRPr="00FC773B">
        <w:rPr>
          <w:sz w:val="22"/>
          <w:szCs w:val="22"/>
        </w:rPr>
        <w:t xml:space="preserve">Uczestnik przetargu może, w terminie 7 dni od dnia </w:t>
      </w:r>
      <w:r w:rsidR="00190F06">
        <w:rPr>
          <w:sz w:val="22"/>
          <w:szCs w:val="22"/>
        </w:rPr>
        <w:t>zakończenia licytacji</w:t>
      </w:r>
      <w:r w:rsidRPr="00FC773B">
        <w:rPr>
          <w:sz w:val="22"/>
          <w:szCs w:val="22"/>
        </w:rPr>
        <w:t xml:space="preserve">, zaskarżyć czynności związane </w:t>
      </w:r>
      <w:r w:rsidR="00190F06">
        <w:rPr>
          <w:sz w:val="22"/>
          <w:szCs w:val="22"/>
        </w:rPr>
        <w:br/>
      </w:r>
      <w:r w:rsidRPr="00FC773B">
        <w:rPr>
          <w:sz w:val="22"/>
          <w:szCs w:val="22"/>
        </w:rPr>
        <w:t>z przeprowadzeniem przetargu.</w:t>
      </w:r>
    </w:p>
    <w:p w14:paraId="69478FAC" w14:textId="06242B51" w:rsidR="00AD0692" w:rsidRPr="00A24715" w:rsidRDefault="00AD0692" w:rsidP="00AD0692">
      <w:pPr>
        <w:widowControl/>
        <w:numPr>
          <w:ilvl w:val="0"/>
          <w:numId w:val="7"/>
        </w:numPr>
        <w:tabs>
          <w:tab w:val="left" w:pos="180"/>
        </w:tabs>
        <w:suppressAutoHyphens w:val="0"/>
        <w:ind w:left="180" w:right="-219" w:hanging="360"/>
        <w:jc w:val="both"/>
        <w:rPr>
          <w:sz w:val="22"/>
          <w:szCs w:val="22"/>
        </w:rPr>
      </w:pPr>
      <w:r w:rsidRPr="00A24715">
        <w:rPr>
          <w:sz w:val="22"/>
          <w:szCs w:val="22"/>
        </w:rPr>
        <w:t>W przypadku niezaskarżenia w wyznaczonym terminie czynności związanych z przeprowadzeniem przetargu albo w razie uznania skargi za niez</w:t>
      </w:r>
      <w:r>
        <w:rPr>
          <w:sz w:val="22"/>
          <w:szCs w:val="22"/>
        </w:rPr>
        <w:t xml:space="preserve">asadną, zostanie </w:t>
      </w:r>
      <w:r w:rsidRPr="00A24715">
        <w:rPr>
          <w:sz w:val="22"/>
          <w:szCs w:val="22"/>
        </w:rPr>
        <w:t>poda</w:t>
      </w:r>
      <w:r>
        <w:rPr>
          <w:sz w:val="22"/>
          <w:szCs w:val="22"/>
        </w:rPr>
        <w:t>na</w:t>
      </w:r>
      <w:r w:rsidRPr="00A24715">
        <w:rPr>
          <w:sz w:val="22"/>
          <w:szCs w:val="22"/>
        </w:rPr>
        <w:t xml:space="preserve"> do publicznej wiadomości</w:t>
      </w:r>
      <w:r>
        <w:rPr>
          <w:sz w:val="22"/>
          <w:szCs w:val="22"/>
        </w:rPr>
        <w:t>,</w:t>
      </w:r>
      <w:r w:rsidRPr="00A24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poprzez wywieszenie </w:t>
      </w:r>
      <w:r w:rsidRPr="00A24715">
        <w:rPr>
          <w:sz w:val="22"/>
          <w:szCs w:val="22"/>
        </w:rPr>
        <w:t>na tablicy ogłoszeń (budynek przy ul. Piłsudskiego 5, II piętro) Starostwa Powiatowego w Ełku na okres 7 dni, informacj</w:t>
      </w:r>
      <w:r>
        <w:rPr>
          <w:sz w:val="22"/>
          <w:szCs w:val="22"/>
        </w:rPr>
        <w:t>a</w:t>
      </w:r>
      <w:r w:rsidRPr="00A24715">
        <w:rPr>
          <w:sz w:val="22"/>
          <w:szCs w:val="22"/>
        </w:rPr>
        <w:t xml:space="preserve"> o wyniku przetargu, która będzie zawierać między innymi imię i nazwisko albo nazwę lub firmę osoby ustalonej jako nabywca nieruchomości.</w:t>
      </w:r>
    </w:p>
    <w:p w14:paraId="795FB5CA" w14:textId="1B053596" w:rsidR="00AD0692" w:rsidRPr="00A24715" w:rsidRDefault="00AD0692" w:rsidP="00AD0692">
      <w:pPr>
        <w:widowControl/>
        <w:numPr>
          <w:ilvl w:val="0"/>
          <w:numId w:val="7"/>
        </w:numPr>
        <w:tabs>
          <w:tab w:val="left" w:pos="180"/>
        </w:tabs>
        <w:suppressAutoHyphens w:val="0"/>
        <w:ind w:left="180" w:right="-219" w:hanging="360"/>
        <w:jc w:val="both"/>
        <w:rPr>
          <w:sz w:val="22"/>
          <w:szCs w:val="22"/>
        </w:rPr>
      </w:pPr>
      <w:r w:rsidRPr="00A24715">
        <w:rPr>
          <w:sz w:val="22"/>
          <w:szCs w:val="22"/>
        </w:rPr>
        <w:t>Sprzedaż przedmiotowej nieruchomości zwolniona jest z podatku VAT od towarów i usług na podstawie art. 43 ust. 1 pkt 9 ustawy z dnia 11 marca 2004 r. o podatku od towarów i usłu</w:t>
      </w:r>
      <w:r>
        <w:rPr>
          <w:sz w:val="22"/>
          <w:szCs w:val="22"/>
        </w:rPr>
        <w:t>g (tekst jednolity Dz. U.</w:t>
      </w:r>
      <w:r w:rsidR="007300A6" w:rsidRPr="002D0122">
        <w:rPr>
          <w:sz w:val="22"/>
          <w:szCs w:val="22"/>
        </w:rPr>
        <w:t xml:space="preserve"> z 2021 poz. 685</w:t>
      </w:r>
      <w:r w:rsidRPr="00A24715">
        <w:rPr>
          <w:sz w:val="22"/>
          <w:szCs w:val="22"/>
        </w:rPr>
        <w:t xml:space="preserve"> z </w:t>
      </w:r>
      <w:proofErr w:type="spellStart"/>
      <w:r w:rsidRPr="00A24715">
        <w:rPr>
          <w:sz w:val="22"/>
          <w:szCs w:val="22"/>
        </w:rPr>
        <w:t>późn</w:t>
      </w:r>
      <w:proofErr w:type="spellEnd"/>
      <w:r w:rsidRPr="00A24715">
        <w:rPr>
          <w:sz w:val="22"/>
          <w:szCs w:val="22"/>
        </w:rPr>
        <w:t>. zm.)).</w:t>
      </w:r>
    </w:p>
    <w:p w14:paraId="67CDED55" w14:textId="77777777" w:rsidR="00AD0692" w:rsidRPr="00A24715" w:rsidRDefault="00AD0692" w:rsidP="00AD0692">
      <w:pPr>
        <w:widowControl/>
        <w:numPr>
          <w:ilvl w:val="0"/>
          <w:numId w:val="7"/>
        </w:numPr>
        <w:tabs>
          <w:tab w:val="left" w:pos="180"/>
        </w:tabs>
        <w:suppressAutoHyphens w:val="0"/>
        <w:ind w:left="180" w:right="-219" w:hanging="360"/>
        <w:jc w:val="both"/>
        <w:rPr>
          <w:sz w:val="22"/>
          <w:szCs w:val="22"/>
        </w:rPr>
      </w:pPr>
      <w:r w:rsidRPr="00A24715">
        <w:rPr>
          <w:sz w:val="22"/>
          <w:szCs w:val="22"/>
        </w:rPr>
        <w:t>Sprzedający powiadomi nabywcę nieruchomości o miejscu i terminie zawarcia umowy sprzedaży. Koszt sporządzenia umowy sprzedaży pokryje nabywca nieruchomości.</w:t>
      </w:r>
    </w:p>
    <w:p w14:paraId="6216C5E5" w14:textId="31E57EA1" w:rsidR="00AD0692" w:rsidRDefault="00AD0692" w:rsidP="00AD0692">
      <w:pPr>
        <w:widowControl/>
        <w:numPr>
          <w:ilvl w:val="0"/>
          <w:numId w:val="7"/>
        </w:numPr>
        <w:tabs>
          <w:tab w:val="left" w:pos="180"/>
        </w:tabs>
        <w:suppressAutoHyphens w:val="0"/>
        <w:ind w:left="180" w:right="-219" w:hanging="360"/>
        <w:jc w:val="both"/>
        <w:rPr>
          <w:sz w:val="22"/>
        </w:rPr>
      </w:pPr>
      <w:r w:rsidRPr="00A24715">
        <w:rPr>
          <w:sz w:val="22"/>
          <w:szCs w:val="22"/>
        </w:rPr>
        <w:t xml:space="preserve">Niniejszy przetarg jest ogłoszony po upływie terminu (6 tygodni licząc od dnia wywieszenia wykazu) do złożenia wniosku przez osoby, którym przysługuje pierwszeństwo w nabyciu nieruchomości na podstawie art. 34 ust. 1 pkt 1 </w:t>
      </w:r>
      <w:r w:rsidR="007300A6">
        <w:rPr>
          <w:sz w:val="22"/>
          <w:szCs w:val="22"/>
        </w:rPr>
        <w:br/>
      </w:r>
      <w:r w:rsidRPr="00A24715">
        <w:rPr>
          <w:sz w:val="22"/>
          <w:szCs w:val="22"/>
        </w:rPr>
        <w:t>i pkt 2 ustawy o gospodarce nieruchomościami. W wyznaczonym terminie nie</w:t>
      </w:r>
      <w:r>
        <w:rPr>
          <w:sz w:val="22"/>
        </w:rPr>
        <w:t xml:space="preserve"> wpłynęły wnioski od osób, którym przysługuje pierwszeństwo w nabyciu nieruchomości na podstawie wyżej powołanych przepisów.</w:t>
      </w:r>
    </w:p>
    <w:p w14:paraId="1EB2D13D" w14:textId="77777777" w:rsidR="00AD0692" w:rsidRDefault="00AD0692" w:rsidP="00AD0692">
      <w:pPr>
        <w:widowControl/>
        <w:numPr>
          <w:ilvl w:val="0"/>
          <w:numId w:val="7"/>
        </w:numPr>
        <w:tabs>
          <w:tab w:val="left" w:pos="-180"/>
        </w:tabs>
        <w:suppressAutoHyphens w:val="0"/>
        <w:ind w:left="180" w:right="-219" w:hanging="360"/>
        <w:jc w:val="both"/>
        <w:rPr>
          <w:sz w:val="22"/>
        </w:rPr>
      </w:pPr>
      <w:r>
        <w:rPr>
          <w:sz w:val="22"/>
        </w:rPr>
        <w:t>Przedmiotowa nieruchomość nie jest obciążona ciężarami i hipotekami, nie toczy się w stosunku do niej żadne postępowanie.</w:t>
      </w:r>
    </w:p>
    <w:p w14:paraId="4D11CBFA" w14:textId="77777777" w:rsidR="00AD0692" w:rsidRDefault="00AD0692" w:rsidP="00AD0692">
      <w:pPr>
        <w:widowControl/>
        <w:numPr>
          <w:ilvl w:val="0"/>
          <w:numId w:val="7"/>
        </w:numPr>
        <w:tabs>
          <w:tab w:val="left" w:pos="180"/>
        </w:tabs>
        <w:suppressAutoHyphens w:val="0"/>
        <w:ind w:left="180" w:right="-219" w:hanging="360"/>
        <w:jc w:val="both"/>
        <w:rPr>
          <w:sz w:val="22"/>
        </w:rPr>
      </w:pPr>
      <w:r>
        <w:rPr>
          <w:sz w:val="22"/>
        </w:rPr>
        <w:t>Nabywca pokrywa koszt wznowienia znaków granicznych nabywanej nieruchomości.</w:t>
      </w:r>
    </w:p>
    <w:p w14:paraId="1285D124" w14:textId="54347A93" w:rsidR="00AD0692" w:rsidRPr="0046586F" w:rsidRDefault="00AD0692" w:rsidP="00AD0692">
      <w:pPr>
        <w:widowControl/>
        <w:numPr>
          <w:ilvl w:val="0"/>
          <w:numId w:val="7"/>
        </w:numPr>
        <w:tabs>
          <w:tab w:val="left" w:pos="180"/>
        </w:tabs>
        <w:suppressAutoHyphens w:val="0"/>
        <w:ind w:left="180" w:right="-219" w:hanging="360"/>
        <w:jc w:val="both"/>
        <w:rPr>
          <w:sz w:val="22"/>
        </w:rPr>
      </w:pPr>
      <w:r>
        <w:rPr>
          <w:sz w:val="22"/>
        </w:rPr>
        <w:t xml:space="preserve">Dodatkowych informacji w przedmiotowej sprawie udziela Wydział Geodezji i Gospodarki Nieruchomościami Starostwa Powiatowego w Ełku ul. Piłsudskiego 5 (pokój 12) tel. (0 87) 621 83 11. </w:t>
      </w:r>
    </w:p>
    <w:p w14:paraId="32B51EA8" w14:textId="77777777" w:rsidR="00AD0692" w:rsidRDefault="00AD0692" w:rsidP="00AD0692">
      <w:pPr>
        <w:ind w:left="1272" w:hanging="1272"/>
        <w:jc w:val="both"/>
        <w:rPr>
          <w:b/>
          <w:bCs/>
          <w:sz w:val="20"/>
        </w:rPr>
      </w:pPr>
    </w:p>
    <w:p w14:paraId="5114AD7C" w14:textId="77777777" w:rsidR="00AD0692" w:rsidRDefault="00AD0692" w:rsidP="00AD0692">
      <w:pPr>
        <w:jc w:val="both"/>
        <w:rPr>
          <w:sz w:val="20"/>
          <w:szCs w:val="20"/>
        </w:rPr>
      </w:pPr>
    </w:p>
    <w:p w14:paraId="21504245" w14:textId="77777777" w:rsidR="00AD0692" w:rsidRDefault="00AD0692" w:rsidP="00AD0692">
      <w:pPr>
        <w:jc w:val="both"/>
        <w:rPr>
          <w:sz w:val="20"/>
          <w:szCs w:val="20"/>
        </w:rPr>
      </w:pPr>
    </w:p>
    <w:p w14:paraId="6965DEEE" w14:textId="0AC87DBC" w:rsidR="00AD0692" w:rsidRPr="00B21D09" w:rsidRDefault="00AD0692" w:rsidP="00AD0692">
      <w:pPr>
        <w:ind w:left="1272" w:hanging="1272"/>
        <w:jc w:val="both"/>
        <w:rPr>
          <w:b/>
          <w:bCs/>
          <w:color w:val="FF0000"/>
          <w:sz w:val="20"/>
        </w:rPr>
      </w:pPr>
    </w:p>
    <w:p w14:paraId="488C5B48" w14:textId="7897078F" w:rsidR="001020F7" w:rsidRDefault="00B21D09" w:rsidP="00B21D09">
      <w:pPr>
        <w:ind w:left="9060" w:hanging="1272"/>
        <w:jc w:val="both"/>
        <w:rPr>
          <w:b/>
          <w:bCs/>
          <w:color w:val="FF0000"/>
          <w:sz w:val="20"/>
        </w:rPr>
      </w:pPr>
      <w:r w:rsidRPr="00B21D09">
        <w:rPr>
          <w:b/>
          <w:bCs/>
          <w:color w:val="FF0000"/>
          <w:sz w:val="20"/>
        </w:rPr>
        <w:t>STAROSTA EŁCKI</w:t>
      </w:r>
    </w:p>
    <w:p w14:paraId="5509F5C7" w14:textId="77777777" w:rsidR="00B21D09" w:rsidRPr="00B21D09" w:rsidRDefault="00B21D09" w:rsidP="00B21D09">
      <w:pPr>
        <w:ind w:left="9060" w:hanging="1272"/>
        <w:jc w:val="both"/>
        <w:rPr>
          <w:b/>
          <w:bCs/>
          <w:color w:val="FF0000"/>
          <w:sz w:val="20"/>
        </w:rPr>
      </w:pPr>
    </w:p>
    <w:p w14:paraId="377C710F" w14:textId="43CBB2CC" w:rsidR="00B21D09" w:rsidRPr="00B21D09" w:rsidRDefault="00B21D09" w:rsidP="00B21D09">
      <w:pPr>
        <w:ind w:left="9060" w:hanging="1272"/>
        <w:jc w:val="both"/>
        <w:rPr>
          <w:b/>
          <w:bCs/>
          <w:color w:val="FF0000"/>
          <w:sz w:val="20"/>
        </w:rPr>
      </w:pPr>
      <w:r w:rsidRPr="00B21D09">
        <w:rPr>
          <w:b/>
          <w:bCs/>
          <w:color w:val="FF0000"/>
          <w:sz w:val="20"/>
        </w:rPr>
        <w:t xml:space="preserve">Marek Chojnowski </w:t>
      </w:r>
    </w:p>
    <w:p w14:paraId="6D5E0953" w14:textId="4B98B98D" w:rsidR="001020F7" w:rsidRPr="00B21D09" w:rsidRDefault="001020F7" w:rsidP="006B3646">
      <w:pPr>
        <w:jc w:val="both"/>
        <w:rPr>
          <w:b/>
          <w:bCs/>
          <w:color w:val="FF0000"/>
          <w:sz w:val="20"/>
        </w:rPr>
      </w:pPr>
    </w:p>
    <w:p w14:paraId="63F20CF1" w14:textId="1718A5C5" w:rsidR="00605C55" w:rsidRPr="003D6AED" w:rsidRDefault="00605C55" w:rsidP="00676D9A">
      <w:pPr>
        <w:jc w:val="both"/>
        <w:rPr>
          <w:sz w:val="20"/>
          <w:szCs w:val="20"/>
        </w:rPr>
      </w:pPr>
    </w:p>
    <w:sectPr w:rsidR="00605C55" w:rsidRPr="003D6AED" w:rsidSect="006C470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B9B"/>
    <w:multiLevelType w:val="hybridMultilevel"/>
    <w:tmpl w:val="BB9A8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029E"/>
    <w:multiLevelType w:val="hybridMultilevel"/>
    <w:tmpl w:val="A7AE663A"/>
    <w:lvl w:ilvl="0" w:tplc="391412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56B"/>
    <w:multiLevelType w:val="hybridMultilevel"/>
    <w:tmpl w:val="FD32FE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67A6F"/>
    <w:multiLevelType w:val="hybridMultilevel"/>
    <w:tmpl w:val="8E780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7E3BE5"/>
    <w:multiLevelType w:val="singleLevel"/>
    <w:tmpl w:val="2444BB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5" w15:restartNumberingAfterBreak="0">
    <w:nsid w:val="3FFE3213"/>
    <w:multiLevelType w:val="hybridMultilevel"/>
    <w:tmpl w:val="E582318C"/>
    <w:lvl w:ilvl="0" w:tplc="85EE5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E3198"/>
    <w:multiLevelType w:val="hybridMultilevel"/>
    <w:tmpl w:val="A5A4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19697">
    <w:abstractNumId w:val="3"/>
  </w:num>
  <w:num w:numId="2" w16cid:durableId="1224217696">
    <w:abstractNumId w:val="6"/>
  </w:num>
  <w:num w:numId="3" w16cid:durableId="905727718">
    <w:abstractNumId w:val="0"/>
  </w:num>
  <w:num w:numId="4" w16cid:durableId="1448352815">
    <w:abstractNumId w:val="1"/>
  </w:num>
  <w:num w:numId="5" w16cid:durableId="1540899126">
    <w:abstractNumId w:val="2"/>
  </w:num>
  <w:num w:numId="6" w16cid:durableId="108859279">
    <w:abstractNumId w:val="5"/>
  </w:num>
  <w:num w:numId="7" w16cid:durableId="12261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7"/>
    <w:rsid w:val="00000E2A"/>
    <w:rsid w:val="00004BEC"/>
    <w:rsid w:val="00036F5E"/>
    <w:rsid w:val="00052267"/>
    <w:rsid w:val="00095167"/>
    <w:rsid w:val="000A3A45"/>
    <w:rsid w:val="000C1A5D"/>
    <w:rsid w:val="000D1CA1"/>
    <w:rsid w:val="000F17D9"/>
    <w:rsid w:val="000F6B6D"/>
    <w:rsid w:val="00100412"/>
    <w:rsid w:val="001020F7"/>
    <w:rsid w:val="00133051"/>
    <w:rsid w:val="00140D90"/>
    <w:rsid w:val="00156492"/>
    <w:rsid w:val="0017012B"/>
    <w:rsid w:val="00190F06"/>
    <w:rsid w:val="001A7903"/>
    <w:rsid w:val="001B48C6"/>
    <w:rsid w:val="001D2D65"/>
    <w:rsid w:val="001F44A3"/>
    <w:rsid w:val="001F5870"/>
    <w:rsid w:val="00202D83"/>
    <w:rsid w:val="0025641C"/>
    <w:rsid w:val="002C2CEC"/>
    <w:rsid w:val="002C615B"/>
    <w:rsid w:val="002F3AC8"/>
    <w:rsid w:val="003A50C2"/>
    <w:rsid w:val="003B644B"/>
    <w:rsid w:val="003D6AED"/>
    <w:rsid w:val="003D7E3C"/>
    <w:rsid w:val="004305EB"/>
    <w:rsid w:val="004733A7"/>
    <w:rsid w:val="00480359"/>
    <w:rsid w:val="004A7D19"/>
    <w:rsid w:val="00533B26"/>
    <w:rsid w:val="005B1540"/>
    <w:rsid w:val="005B2897"/>
    <w:rsid w:val="005D3023"/>
    <w:rsid w:val="00604202"/>
    <w:rsid w:val="00605C55"/>
    <w:rsid w:val="006118FF"/>
    <w:rsid w:val="0062375C"/>
    <w:rsid w:val="0063409B"/>
    <w:rsid w:val="006359E7"/>
    <w:rsid w:val="00666ECD"/>
    <w:rsid w:val="00675313"/>
    <w:rsid w:val="00676418"/>
    <w:rsid w:val="00676D9A"/>
    <w:rsid w:val="00687ACD"/>
    <w:rsid w:val="006B3646"/>
    <w:rsid w:val="006B6BA0"/>
    <w:rsid w:val="006C20AA"/>
    <w:rsid w:val="006C4709"/>
    <w:rsid w:val="006D1D8A"/>
    <w:rsid w:val="00700977"/>
    <w:rsid w:val="00715276"/>
    <w:rsid w:val="007177B1"/>
    <w:rsid w:val="0072622C"/>
    <w:rsid w:val="007300A6"/>
    <w:rsid w:val="007917E8"/>
    <w:rsid w:val="007D0C39"/>
    <w:rsid w:val="00800BE5"/>
    <w:rsid w:val="0082696D"/>
    <w:rsid w:val="00832259"/>
    <w:rsid w:val="00833F33"/>
    <w:rsid w:val="0086681F"/>
    <w:rsid w:val="008802C0"/>
    <w:rsid w:val="008B2491"/>
    <w:rsid w:val="008D134B"/>
    <w:rsid w:val="008E420F"/>
    <w:rsid w:val="008E5265"/>
    <w:rsid w:val="00903C3D"/>
    <w:rsid w:val="00953FB0"/>
    <w:rsid w:val="00967A3E"/>
    <w:rsid w:val="00987156"/>
    <w:rsid w:val="00987F47"/>
    <w:rsid w:val="0099062A"/>
    <w:rsid w:val="009D3EFC"/>
    <w:rsid w:val="00A025EA"/>
    <w:rsid w:val="00A118B1"/>
    <w:rsid w:val="00A14C60"/>
    <w:rsid w:val="00A153F1"/>
    <w:rsid w:val="00A2404E"/>
    <w:rsid w:val="00A317BF"/>
    <w:rsid w:val="00A54A64"/>
    <w:rsid w:val="00A75A88"/>
    <w:rsid w:val="00A84264"/>
    <w:rsid w:val="00AB6190"/>
    <w:rsid w:val="00AD0692"/>
    <w:rsid w:val="00AD2404"/>
    <w:rsid w:val="00AF67EE"/>
    <w:rsid w:val="00B0155C"/>
    <w:rsid w:val="00B21D09"/>
    <w:rsid w:val="00B56FD9"/>
    <w:rsid w:val="00B65737"/>
    <w:rsid w:val="00B6623C"/>
    <w:rsid w:val="00B8065F"/>
    <w:rsid w:val="00B8538D"/>
    <w:rsid w:val="00BB53DC"/>
    <w:rsid w:val="00BB79EB"/>
    <w:rsid w:val="00BC5E99"/>
    <w:rsid w:val="00BD1B45"/>
    <w:rsid w:val="00BD6F43"/>
    <w:rsid w:val="00C377E0"/>
    <w:rsid w:val="00C453EE"/>
    <w:rsid w:val="00C46C66"/>
    <w:rsid w:val="00C916FD"/>
    <w:rsid w:val="00CD2FB1"/>
    <w:rsid w:val="00D06333"/>
    <w:rsid w:val="00D16FFA"/>
    <w:rsid w:val="00D25A55"/>
    <w:rsid w:val="00D600B0"/>
    <w:rsid w:val="00D61005"/>
    <w:rsid w:val="00D62D41"/>
    <w:rsid w:val="00D73391"/>
    <w:rsid w:val="00DB43B0"/>
    <w:rsid w:val="00DE7033"/>
    <w:rsid w:val="00DF727A"/>
    <w:rsid w:val="00E13730"/>
    <w:rsid w:val="00E215F4"/>
    <w:rsid w:val="00E47AC7"/>
    <w:rsid w:val="00E71AB0"/>
    <w:rsid w:val="00E8177E"/>
    <w:rsid w:val="00EA4DD8"/>
    <w:rsid w:val="00ED011B"/>
    <w:rsid w:val="00ED444F"/>
    <w:rsid w:val="00EE0BEE"/>
    <w:rsid w:val="00EE6C27"/>
    <w:rsid w:val="00F02143"/>
    <w:rsid w:val="00F040A4"/>
    <w:rsid w:val="00F25AA7"/>
    <w:rsid w:val="00F3772E"/>
    <w:rsid w:val="00F4142E"/>
    <w:rsid w:val="00F4213C"/>
    <w:rsid w:val="00F57DB6"/>
    <w:rsid w:val="00F75123"/>
    <w:rsid w:val="00FA1EA6"/>
    <w:rsid w:val="00FA2BC1"/>
    <w:rsid w:val="00FD44A2"/>
    <w:rsid w:val="00FE0817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2125"/>
  <w15:chartTrackingRefBased/>
  <w15:docId w15:val="{B63C8CD9-8856-4D4E-9794-65F9C8B4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13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4213C"/>
    <w:pPr>
      <w:keepNext/>
      <w:widowControl/>
      <w:suppressAutoHyphens w:val="0"/>
      <w:outlineLvl w:val="1"/>
    </w:pPr>
    <w:rPr>
      <w:rFonts w:eastAsia="Times New Roman"/>
      <w:b/>
      <w:bCs/>
      <w:kern w:val="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4213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421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213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ytu">
    <w:name w:val="Title"/>
    <w:basedOn w:val="Normalny"/>
    <w:link w:val="TytuZnak"/>
    <w:qFormat/>
    <w:rsid w:val="00F4213C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F421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3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6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E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ECD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CD"/>
    <w:rPr>
      <w:rFonts w:ascii="Times New Roman" w:eastAsia="Andale Sans UI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B16B-202C-4F6B-A8D8-61F70C4C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Witkowska</dc:creator>
  <cp:keywords/>
  <dc:description/>
  <cp:lastModifiedBy>Magdalena Zawadzka-Piłat</cp:lastModifiedBy>
  <cp:revision>2</cp:revision>
  <cp:lastPrinted>2022-05-25T12:26:00Z</cp:lastPrinted>
  <dcterms:created xsi:type="dcterms:W3CDTF">2022-06-01T11:21:00Z</dcterms:created>
  <dcterms:modified xsi:type="dcterms:W3CDTF">2022-06-01T11:21:00Z</dcterms:modified>
</cp:coreProperties>
</file>