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30B12" w14:textId="77777777" w:rsidR="004B605D" w:rsidRPr="004B605D" w:rsidRDefault="004B605D" w:rsidP="004B605D">
      <w:pPr>
        <w:pStyle w:val="Standard"/>
        <w:spacing w:after="213"/>
        <w:rPr>
          <w:sz w:val="20"/>
          <w:szCs w:val="20"/>
        </w:rPr>
      </w:pPr>
      <w:r w:rsidRPr="004B605D">
        <w:rPr>
          <w:rFonts w:ascii="Times New Roman" w:eastAsia="Times New Roman" w:hAnsi="Times New Roman" w:cs="Times New Roman"/>
          <w:sz w:val="20"/>
          <w:szCs w:val="20"/>
        </w:rPr>
        <w:t>Załącznik Nr 1 do uchwały Nr  LVIII/516/2021 Rady Miejskiej Góry Kalwarii z dnia 29 września 2021 r.</w:t>
      </w:r>
    </w:p>
    <w:p w14:paraId="2C3C90C6" w14:textId="77777777" w:rsidR="004B605D" w:rsidRDefault="004B605D" w:rsidP="004B605D">
      <w:pPr>
        <w:pStyle w:val="Standard"/>
        <w:spacing w:after="0" w:line="264" w:lineRule="auto"/>
        <w:jc w:val="both"/>
      </w:pPr>
      <w:r>
        <w:rPr>
          <w:rFonts w:ascii="Times New Roman" w:eastAsia="Times New Roman" w:hAnsi="Times New Roman" w:cs="Times New Roman"/>
          <w:b/>
        </w:rPr>
        <w:t>Regulamin określający zasady udzielenia dotacji celowych ze środków budżetu Gminy Góry Kalwarii na przedsięwzięcia służące gospodarce wodnej polegające na budowie przydomowej oczyszczalni ścieków lub likwidacji funkcji zbiornika bezodpływowego na nieczystości ciekłe poprzez budowę przydomowej oczyszczalni ścieków na terenie Gminy Góra Kalwaria</w:t>
      </w:r>
    </w:p>
    <w:p w14:paraId="2A8AD09A" w14:textId="77777777" w:rsidR="004B605D" w:rsidRDefault="004B605D" w:rsidP="004B605D">
      <w:pPr>
        <w:pStyle w:val="Standard"/>
        <w:spacing w:after="0" w:line="264" w:lineRule="auto"/>
        <w:ind w:left="1446" w:hanging="10"/>
        <w:jc w:val="both"/>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p>
    <w:p w14:paraId="2A71612A" w14:textId="77777777" w:rsidR="004B605D" w:rsidRDefault="004B605D" w:rsidP="004B605D">
      <w:pPr>
        <w:pStyle w:val="Standard"/>
        <w:spacing w:after="0" w:line="264" w:lineRule="auto"/>
        <w:ind w:left="1446" w:hanging="10"/>
        <w:jc w:val="both"/>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Pr>
          <w:rFonts w:ascii="Times New Roman" w:eastAsia="Times New Roman" w:hAnsi="Times New Roman" w:cs="Times New Roman"/>
        </w:rPr>
        <w:t xml:space="preserve"> </w:t>
      </w:r>
      <w:r>
        <w:rPr>
          <w:rFonts w:ascii="Times New Roman" w:eastAsia="Times New Roman" w:hAnsi="Times New Roman" w:cs="Times New Roman"/>
          <w:b/>
        </w:rPr>
        <w:t>Rozdział 1.</w:t>
      </w:r>
    </w:p>
    <w:p w14:paraId="5AA94B18" w14:textId="77777777" w:rsidR="004B605D" w:rsidRDefault="004B605D" w:rsidP="004B605D">
      <w:pPr>
        <w:pStyle w:val="Standard"/>
        <w:spacing w:after="229" w:line="240" w:lineRule="auto"/>
        <w:ind w:left="433" w:right="2" w:hanging="10"/>
        <w:jc w:val="center"/>
      </w:pPr>
      <w:r>
        <w:rPr>
          <w:rFonts w:ascii="Times New Roman" w:eastAsia="Times New Roman" w:hAnsi="Times New Roman" w:cs="Times New Roman"/>
          <w:b/>
        </w:rPr>
        <w:t>Postanowienia ogólne</w:t>
      </w:r>
    </w:p>
    <w:p w14:paraId="2BB2B275" w14:textId="77777777" w:rsidR="004B605D" w:rsidRDefault="004B605D" w:rsidP="004B605D">
      <w:pPr>
        <w:pStyle w:val="Standard"/>
        <w:spacing w:after="110" w:line="240" w:lineRule="auto"/>
        <w:ind w:left="708" w:right="287" w:firstLine="331"/>
        <w:jc w:val="both"/>
      </w:pPr>
      <w:r>
        <w:rPr>
          <w:rFonts w:ascii="Times New Roman" w:eastAsia="Times New Roman" w:hAnsi="Times New Roman" w:cs="Times New Roman"/>
          <w:b/>
        </w:rPr>
        <w:t xml:space="preserve">§ 1. </w:t>
      </w:r>
      <w:r>
        <w:rPr>
          <w:rFonts w:ascii="Times New Roman" w:eastAsia="Times New Roman" w:hAnsi="Times New Roman" w:cs="Times New Roman"/>
        </w:rPr>
        <w:t>Ze środków budżetu Gminy Góra Kalwaria może być udzielana dotacja na realizację zadania polegającego na budowie przydomowej oczyszczalni ścieków lub likwidacji funkcji zbiornika bezodpływowego na nieczystości ciekłe poprzez budowę przydomowej oczyszczalni ścieków.</w:t>
      </w:r>
    </w:p>
    <w:p w14:paraId="01750B13" w14:textId="77777777" w:rsidR="004B605D" w:rsidRDefault="004B605D" w:rsidP="004B605D">
      <w:pPr>
        <w:pStyle w:val="Standard"/>
        <w:spacing w:after="110" w:line="240" w:lineRule="auto"/>
        <w:ind w:left="1049" w:right="33"/>
        <w:jc w:val="both"/>
      </w:pPr>
      <w:r>
        <w:rPr>
          <w:rFonts w:ascii="Times New Roman" w:eastAsia="Times New Roman" w:hAnsi="Times New Roman" w:cs="Times New Roman"/>
          <w:b/>
        </w:rPr>
        <w:t xml:space="preserve">§ 2. </w:t>
      </w:r>
      <w:r>
        <w:rPr>
          <w:rFonts w:ascii="Times New Roman" w:eastAsia="Times New Roman" w:hAnsi="Times New Roman" w:cs="Times New Roman"/>
        </w:rPr>
        <w:t>Dofinansowanie będzie udzielane w formie dotacji celowej z budżetu Gminy Góra Kalwaria.</w:t>
      </w:r>
    </w:p>
    <w:p w14:paraId="02367FD8" w14:textId="77777777" w:rsidR="004B605D" w:rsidRDefault="004B605D" w:rsidP="004B605D">
      <w:pPr>
        <w:pStyle w:val="Standard"/>
        <w:spacing w:after="116" w:line="240" w:lineRule="auto"/>
        <w:ind w:left="433" w:right="3" w:hanging="10"/>
        <w:jc w:val="center"/>
      </w:pPr>
      <w:r>
        <w:rPr>
          <w:rFonts w:ascii="Times New Roman" w:eastAsia="Times New Roman" w:hAnsi="Times New Roman" w:cs="Times New Roman"/>
          <w:b/>
        </w:rPr>
        <w:t>Rozdział 2.</w:t>
      </w:r>
    </w:p>
    <w:p w14:paraId="7FD32DD3" w14:textId="77777777" w:rsidR="004B605D" w:rsidRDefault="004B605D" w:rsidP="004B605D">
      <w:pPr>
        <w:pStyle w:val="Standard"/>
        <w:spacing w:after="229" w:line="240" w:lineRule="auto"/>
        <w:ind w:left="433" w:right="2" w:hanging="10"/>
        <w:jc w:val="center"/>
      </w:pPr>
      <w:r>
        <w:rPr>
          <w:rFonts w:ascii="Times New Roman" w:eastAsia="Times New Roman" w:hAnsi="Times New Roman" w:cs="Times New Roman"/>
          <w:b/>
        </w:rPr>
        <w:t>Wysokość dotacji</w:t>
      </w:r>
    </w:p>
    <w:p w14:paraId="6391F15F" w14:textId="77777777" w:rsidR="004B605D" w:rsidRDefault="004B605D" w:rsidP="004B605D">
      <w:pPr>
        <w:pStyle w:val="Standard"/>
        <w:spacing w:after="110" w:line="240" w:lineRule="auto"/>
        <w:ind w:left="708" w:right="284" w:firstLine="331"/>
        <w:jc w:val="both"/>
      </w:pPr>
      <w:r>
        <w:rPr>
          <w:rFonts w:ascii="Times New Roman" w:eastAsia="Times New Roman" w:hAnsi="Times New Roman" w:cs="Times New Roman"/>
          <w:b/>
        </w:rPr>
        <w:t xml:space="preserve">§ 3. </w:t>
      </w:r>
      <w:r>
        <w:rPr>
          <w:rFonts w:ascii="Times New Roman" w:eastAsia="Times New Roman" w:hAnsi="Times New Roman" w:cs="Times New Roman"/>
        </w:rPr>
        <w:t>Wysokość dotacji celowej na zadanie polegające na budowie przydomowej oczyszczalni ścieków lub likwidacji funkcji zbiornika bezodpływowego na nieczystości ciekłe poprzez budowę przydomowej oczyszczalni ścieków wynosi:</w:t>
      </w:r>
    </w:p>
    <w:p w14:paraId="70E5A273" w14:textId="77777777" w:rsidR="004B605D" w:rsidRDefault="004B605D" w:rsidP="004B605D">
      <w:pPr>
        <w:pStyle w:val="Standard"/>
        <w:spacing w:after="110" w:line="240" w:lineRule="auto"/>
        <w:ind w:left="708" w:right="284" w:firstLine="331"/>
        <w:jc w:val="both"/>
      </w:pPr>
      <w:r>
        <w:rPr>
          <w:rFonts w:ascii="Times New Roman" w:eastAsia="Times New Roman" w:hAnsi="Times New Roman" w:cs="Times New Roman"/>
        </w:rPr>
        <w:t>1) 60 % kwoty wynikającej z przedstawionych faktur, jednak nie więcej niż 5 000 zł.</w:t>
      </w:r>
    </w:p>
    <w:p w14:paraId="349606EC" w14:textId="77777777" w:rsidR="004B605D" w:rsidRDefault="004B605D" w:rsidP="004B605D">
      <w:pPr>
        <w:pStyle w:val="Standard"/>
        <w:spacing w:after="110" w:line="240" w:lineRule="auto"/>
        <w:ind w:left="708" w:right="284" w:firstLine="331"/>
        <w:jc w:val="both"/>
      </w:pPr>
      <w:r>
        <w:rPr>
          <w:rFonts w:ascii="Times New Roman" w:eastAsia="Times New Roman" w:hAnsi="Times New Roman" w:cs="Times New Roman"/>
        </w:rPr>
        <w:t>2) 65 % kwoty wynikającej z przedstawionych faktur, jednak nie więcej niż 6 000 zł dla posiadaczy karty dużej rodziny.</w:t>
      </w:r>
    </w:p>
    <w:p w14:paraId="7A9449FF" w14:textId="77777777" w:rsidR="004B605D" w:rsidRDefault="004B605D" w:rsidP="004B605D">
      <w:pPr>
        <w:pStyle w:val="Standard"/>
        <w:spacing w:after="110" w:line="240" w:lineRule="auto"/>
        <w:ind w:left="708" w:right="33" w:firstLine="331"/>
        <w:jc w:val="both"/>
      </w:pPr>
      <w:r>
        <w:rPr>
          <w:rFonts w:ascii="Times New Roman" w:eastAsia="Times New Roman" w:hAnsi="Times New Roman" w:cs="Times New Roman"/>
          <w:b/>
        </w:rPr>
        <w:t xml:space="preserve">§ 4. </w:t>
      </w:r>
      <w:r>
        <w:rPr>
          <w:rFonts w:ascii="Times New Roman" w:eastAsia="Times New Roman" w:hAnsi="Times New Roman" w:cs="Times New Roman"/>
        </w:rPr>
        <w:t>Dotacja wypłacana jest jednorazowo przelewem na wskazany rachunek bankowy Wnioskodawcy w terminie określonym w umowie.</w:t>
      </w:r>
    </w:p>
    <w:p w14:paraId="25E7B9AB" w14:textId="77777777" w:rsidR="004B605D" w:rsidRDefault="004B605D" w:rsidP="004B605D">
      <w:pPr>
        <w:pStyle w:val="Standard"/>
        <w:spacing w:after="116" w:line="240" w:lineRule="auto"/>
        <w:ind w:left="433" w:right="3" w:hanging="10"/>
        <w:jc w:val="center"/>
      </w:pPr>
      <w:r>
        <w:rPr>
          <w:rFonts w:ascii="Times New Roman" w:eastAsia="Times New Roman" w:hAnsi="Times New Roman" w:cs="Times New Roman"/>
          <w:b/>
        </w:rPr>
        <w:t>Rozdział 3.</w:t>
      </w:r>
    </w:p>
    <w:p w14:paraId="45CA9CAD" w14:textId="77777777" w:rsidR="004B605D" w:rsidRDefault="004B605D" w:rsidP="004B605D">
      <w:pPr>
        <w:pStyle w:val="Standard"/>
        <w:spacing w:after="229" w:line="240" w:lineRule="auto"/>
        <w:ind w:left="433" w:right="3" w:hanging="10"/>
        <w:jc w:val="center"/>
      </w:pPr>
      <w:r>
        <w:rPr>
          <w:rFonts w:ascii="Times New Roman" w:eastAsia="Times New Roman" w:hAnsi="Times New Roman" w:cs="Times New Roman"/>
          <w:b/>
        </w:rPr>
        <w:t>Zasady otrzymania dotacji</w:t>
      </w:r>
    </w:p>
    <w:p w14:paraId="08E98499" w14:textId="77777777" w:rsidR="004B605D" w:rsidRDefault="004B605D" w:rsidP="004B605D">
      <w:pPr>
        <w:pStyle w:val="Standard"/>
        <w:spacing w:after="0" w:line="348" w:lineRule="auto"/>
        <w:ind w:left="1049" w:right="1080"/>
        <w:jc w:val="both"/>
      </w:pPr>
      <w:r>
        <w:rPr>
          <w:rFonts w:ascii="Times New Roman" w:eastAsia="Times New Roman" w:hAnsi="Times New Roman" w:cs="Times New Roman"/>
          <w:b/>
        </w:rPr>
        <w:t xml:space="preserve">§ 5. </w:t>
      </w:r>
      <w:r>
        <w:rPr>
          <w:rFonts w:ascii="Times New Roman" w:eastAsia="Times New Roman" w:hAnsi="Times New Roman" w:cs="Times New Roman"/>
        </w:rPr>
        <w:t xml:space="preserve">Dotacja na realizację zadania opisanego w § 1 regulaminu jest udzielana tylko jeden raz dla: </w:t>
      </w:r>
    </w:p>
    <w:p w14:paraId="01909CB4" w14:textId="77777777" w:rsidR="004B605D" w:rsidRDefault="004B605D" w:rsidP="004B605D">
      <w:pPr>
        <w:pStyle w:val="Standard"/>
        <w:spacing w:after="0" w:line="348" w:lineRule="auto"/>
        <w:ind w:left="1049" w:right="1080" w:firstLine="367"/>
        <w:jc w:val="both"/>
      </w:pPr>
      <w:r>
        <w:rPr>
          <w:rFonts w:ascii="Times New Roman" w:eastAsia="Times New Roman" w:hAnsi="Times New Roman" w:cs="Times New Roman"/>
        </w:rPr>
        <w:t>1) budynku mieszkalnego jednorodzinnego,</w:t>
      </w:r>
    </w:p>
    <w:p w14:paraId="23D864EF" w14:textId="77777777" w:rsidR="004B605D" w:rsidRDefault="004B605D" w:rsidP="004B605D">
      <w:pPr>
        <w:pStyle w:val="Standard"/>
        <w:spacing w:after="110" w:line="240" w:lineRule="auto"/>
        <w:ind w:left="1049" w:right="33"/>
        <w:jc w:val="both"/>
        <w:rPr>
          <w:rFonts w:ascii="Times New Roman" w:eastAsia="Times New Roman" w:hAnsi="Times New Roman" w:cs="Times New Roman"/>
        </w:rPr>
      </w:pPr>
      <w:r>
        <w:rPr>
          <w:rFonts w:ascii="Times New Roman" w:eastAsia="Times New Roman" w:hAnsi="Times New Roman" w:cs="Times New Roman"/>
        </w:rPr>
        <w:tab/>
        <w:t>2) budynku usługowego.</w:t>
      </w:r>
    </w:p>
    <w:p w14:paraId="3FA4D980" w14:textId="77777777" w:rsidR="004B605D" w:rsidRDefault="004B605D" w:rsidP="004B605D">
      <w:pPr>
        <w:pStyle w:val="Standard"/>
        <w:spacing w:after="110" w:line="240" w:lineRule="auto"/>
        <w:ind w:left="708" w:right="284" w:firstLine="331"/>
        <w:jc w:val="both"/>
      </w:pPr>
      <w:r>
        <w:rPr>
          <w:rFonts w:ascii="Times New Roman" w:eastAsia="Times New Roman" w:hAnsi="Times New Roman" w:cs="Times New Roman"/>
          <w:b/>
        </w:rPr>
        <w:t xml:space="preserve">§ 6. </w:t>
      </w:r>
      <w:r>
        <w:rPr>
          <w:rFonts w:ascii="Times New Roman" w:eastAsia="Times New Roman" w:hAnsi="Times New Roman" w:cs="Times New Roman"/>
        </w:rPr>
        <w:t>Budynki, o których mowa w § 5 muszą być oddane do użytkowania i/lub być wyposażone w zbiorniki bezodpływowe na nieczystości ciekłe, a właściciel nieruchomości musi posiadać zawartą umowę na ich opróżnianie oraz rachunki potwierdzające opróżnianie zbiornika przez przedsiębiorcę posiadającego zezwolenie na odbiór nieczystości ciekłych z terenu Gminy Góra Kalwaria.</w:t>
      </w:r>
    </w:p>
    <w:p w14:paraId="3238DD14" w14:textId="77777777" w:rsidR="004B605D" w:rsidRDefault="004B605D" w:rsidP="004B605D">
      <w:pPr>
        <w:pStyle w:val="Standard"/>
        <w:spacing w:after="110" w:line="240" w:lineRule="auto"/>
        <w:ind w:left="708" w:right="284" w:firstLine="331"/>
        <w:jc w:val="both"/>
      </w:pPr>
      <w:r>
        <w:rPr>
          <w:rFonts w:ascii="Times New Roman" w:eastAsia="Times New Roman" w:hAnsi="Times New Roman" w:cs="Times New Roman"/>
          <w:b/>
        </w:rPr>
        <w:t xml:space="preserve">§ 7. </w:t>
      </w:r>
      <w:r>
        <w:rPr>
          <w:rFonts w:ascii="Times New Roman" w:eastAsia="Times New Roman" w:hAnsi="Times New Roman" w:cs="Times New Roman"/>
        </w:rPr>
        <w:t>Kolejność udzielania dotacji jest zgodna z kolejnością wpływu wniosków do Urzędu Miasta i Gminy w Górze Kalwarii, przy czym w przypadku wniosków uzupełnionych zgodnie z wezwaniem, datą decydującą o kolejności udzielania dotacji jest data wpływu wniosku do urzędu (a nie data jego uzupełnienia)</w:t>
      </w:r>
    </w:p>
    <w:p w14:paraId="4A8614B1" w14:textId="77777777" w:rsidR="004B605D" w:rsidRDefault="004B605D" w:rsidP="004B605D">
      <w:pPr>
        <w:pStyle w:val="Standard"/>
        <w:spacing w:after="116" w:line="240" w:lineRule="auto"/>
        <w:ind w:left="433" w:right="3" w:hanging="10"/>
        <w:jc w:val="center"/>
      </w:pPr>
      <w:r>
        <w:rPr>
          <w:rFonts w:ascii="Times New Roman" w:eastAsia="Times New Roman" w:hAnsi="Times New Roman" w:cs="Times New Roman"/>
          <w:b/>
        </w:rPr>
        <w:t>Rozdział 4.</w:t>
      </w:r>
    </w:p>
    <w:p w14:paraId="14D4AEA2" w14:textId="77777777" w:rsidR="004B605D" w:rsidRDefault="004B605D" w:rsidP="004B605D">
      <w:pPr>
        <w:pStyle w:val="Standard"/>
        <w:spacing w:after="229" w:line="240" w:lineRule="auto"/>
        <w:ind w:left="433" w:hanging="10"/>
        <w:jc w:val="center"/>
      </w:pPr>
      <w:r>
        <w:rPr>
          <w:rFonts w:ascii="Times New Roman" w:eastAsia="Times New Roman" w:hAnsi="Times New Roman" w:cs="Times New Roman"/>
          <w:b/>
        </w:rPr>
        <w:t>Wniosek o udzielenie dotacji</w:t>
      </w:r>
    </w:p>
    <w:p w14:paraId="3E3C38A5" w14:textId="77777777" w:rsidR="004B605D" w:rsidRDefault="004B605D" w:rsidP="004B605D">
      <w:pPr>
        <w:pStyle w:val="Standard"/>
        <w:spacing w:after="110" w:line="240" w:lineRule="auto"/>
        <w:ind w:left="708" w:right="284" w:firstLine="331"/>
        <w:jc w:val="both"/>
      </w:pPr>
      <w:r>
        <w:rPr>
          <w:rFonts w:ascii="Times New Roman" w:eastAsia="Times New Roman" w:hAnsi="Times New Roman" w:cs="Times New Roman"/>
          <w:b/>
        </w:rPr>
        <w:t xml:space="preserve">§ 7. </w:t>
      </w:r>
      <w:r>
        <w:rPr>
          <w:rFonts w:ascii="Times New Roman" w:eastAsia="Times New Roman" w:hAnsi="Times New Roman" w:cs="Times New Roman"/>
        </w:rPr>
        <w:t xml:space="preserve">1. Wnioskodawca ubiegający się o przyznanie dotacji zobowiązany jest do złożenia wniosku o dotację na budowę przydomowej oczyszczalni ścieków lub likwidację funkcji </w:t>
      </w:r>
      <w:r>
        <w:rPr>
          <w:rFonts w:ascii="Times New Roman" w:eastAsia="Times New Roman" w:hAnsi="Times New Roman" w:cs="Times New Roman"/>
        </w:rPr>
        <w:lastRenderedPageBreak/>
        <w:t>zbiornika bezodpływowego na nieczystości ciekłe poprzez budowę przydomowej oczyszczalni ścieków według wzoru stanowiącego załącznik nr 1 do niniejszego regulaminu wraz ze wszystkimi wymaganymi dokumentami określonymi we wniosku.</w:t>
      </w:r>
    </w:p>
    <w:p w14:paraId="2755E9D6" w14:textId="77777777" w:rsidR="004B605D" w:rsidRDefault="004B605D" w:rsidP="004B605D">
      <w:pPr>
        <w:pStyle w:val="Standard"/>
        <w:numPr>
          <w:ilvl w:val="0"/>
          <w:numId w:val="4"/>
        </w:numPr>
        <w:spacing w:after="110" w:line="240" w:lineRule="auto"/>
        <w:ind w:right="33" w:firstLine="331"/>
        <w:jc w:val="both"/>
        <w:rPr>
          <w:rFonts w:ascii="Times New Roman" w:eastAsia="Times New Roman" w:hAnsi="Times New Roman" w:cs="Times New Roman"/>
        </w:rPr>
      </w:pPr>
      <w:r>
        <w:rPr>
          <w:rFonts w:ascii="Times New Roman" w:eastAsia="Times New Roman" w:hAnsi="Times New Roman" w:cs="Times New Roman"/>
        </w:rPr>
        <w:t>Wniosek o uzyskanie dotacji należy złożyć przed zakupem przydomowej oczyszczalni ścieków oraz rozpoczęciem prac.</w:t>
      </w:r>
    </w:p>
    <w:p w14:paraId="25F86CB1" w14:textId="77777777" w:rsidR="004B605D" w:rsidRDefault="004B605D" w:rsidP="004B605D">
      <w:pPr>
        <w:pStyle w:val="Standard"/>
        <w:numPr>
          <w:ilvl w:val="0"/>
          <w:numId w:val="1"/>
        </w:numPr>
        <w:spacing w:after="110" w:line="240" w:lineRule="auto"/>
        <w:ind w:right="33" w:firstLine="331"/>
        <w:jc w:val="both"/>
        <w:rPr>
          <w:rFonts w:ascii="Times New Roman" w:eastAsia="Times New Roman" w:hAnsi="Times New Roman" w:cs="Times New Roman"/>
        </w:rPr>
      </w:pPr>
      <w:r>
        <w:rPr>
          <w:rFonts w:ascii="Times New Roman" w:eastAsia="Times New Roman" w:hAnsi="Times New Roman" w:cs="Times New Roman"/>
        </w:rPr>
        <w:t>Do wniosku należy dołączyć:</w:t>
      </w:r>
    </w:p>
    <w:p w14:paraId="466E93BF" w14:textId="77777777" w:rsidR="004B605D" w:rsidRDefault="004B605D" w:rsidP="004B605D">
      <w:pPr>
        <w:pStyle w:val="Standard"/>
        <w:numPr>
          <w:ilvl w:val="0"/>
          <w:numId w:val="5"/>
        </w:numPr>
        <w:spacing w:after="110" w:line="240" w:lineRule="auto"/>
        <w:ind w:right="283" w:hanging="240"/>
        <w:jc w:val="both"/>
      </w:pPr>
      <w:r>
        <w:rPr>
          <w:rFonts w:ascii="Times New Roman" w:eastAsia="Times New Roman" w:hAnsi="Times New Roman" w:cs="Times New Roman"/>
        </w:rPr>
        <w:t>Dokument potwierdzający tytuł prawny do nieruchomości (wypis z księgi wieczystej lub w przypadku jej braku akt notarialny),</w:t>
      </w:r>
    </w:p>
    <w:p w14:paraId="1B26F13D" w14:textId="77777777" w:rsidR="004B605D" w:rsidRDefault="004B605D" w:rsidP="004B605D">
      <w:pPr>
        <w:pStyle w:val="Standard"/>
        <w:numPr>
          <w:ilvl w:val="0"/>
          <w:numId w:val="2"/>
        </w:numPr>
        <w:spacing w:after="110" w:line="240" w:lineRule="auto"/>
        <w:ind w:right="283" w:hanging="240"/>
        <w:jc w:val="both"/>
        <w:rPr>
          <w:rFonts w:ascii="Times New Roman" w:eastAsia="Times New Roman" w:hAnsi="Times New Roman" w:cs="Times New Roman"/>
        </w:rPr>
      </w:pPr>
      <w:r>
        <w:rPr>
          <w:rFonts w:ascii="Times New Roman" w:eastAsia="Times New Roman" w:hAnsi="Times New Roman" w:cs="Times New Roman"/>
        </w:rPr>
        <w:t>Pisemną zgodę wszystkich współwłaścicieli (w oryginale);</w:t>
      </w:r>
    </w:p>
    <w:p w14:paraId="40016563" w14:textId="77777777" w:rsidR="004B605D" w:rsidRDefault="004B605D" w:rsidP="004B605D">
      <w:pPr>
        <w:pStyle w:val="Standard"/>
        <w:numPr>
          <w:ilvl w:val="0"/>
          <w:numId w:val="2"/>
        </w:numPr>
        <w:spacing w:after="110" w:line="240" w:lineRule="auto"/>
        <w:ind w:right="283" w:hanging="240"/>
        <w:jc w:val="both"/>
        <w:rPr>
          <w:rFonts w:ascii="Times New Roman" w:eastAsia="Times New Roman" w:hAnsi="Times New Roman" w:cs="Times New Roman"/>
        </w:rPr>
      </w:pPr>
      <w:r>
        <w:rPr>
          <w:rFonts w:ascii="Times New Roman" w:eastAsia="Times New Roman" w:hAnsi="Times New Roman" w:cs="Times New Roman"/>
        </w:rPr>
        <w:t>Dokumenty potwierdzające możliwość wykonania przydomowej oczyszczalni ścieków zgodnie z przepisami odrębnymi, tj. zaświadczenie od właściwego organu o braku sprzeciwu do budowy przydomowej oczyszczalni ścieków na danej nieruchomości;</w:t>
      </w:r>
    </w:p>
    <w:p w14:paraId="109B5199" w14:textId="77777777" w:rsidR="004B605D" w:rsidRDefault="004B605D" w:rsidP="004B605D">
      <w:pPr>
        <w:pStyle w:val="Standard"/>
        <w:numPr>
          <w:ilvl w:val="0"/>
          <w:numId w:val="2"/>
        </w:numPr>
        <w:spacing w:after="110" w:line="240" w:lineRule="auto"/>
        <w:ind w:right="283" w:hanging="240"/>
        <w:jc w:val="both"/>
        <w:rPr>
          <w:rFonts w:ascii="Times New Roman" w:eastAsia="Times New Roman" w:hAnsi="Times New Roman" w:cs="Times New Roman"/>
        </w:rPr>
      </w:pPr>
      <w:r>
        <w:rPr>
          <w:rFonts w:ascii="Times New Roman" w:eastAsia="Times New Roman" w:hAnsi="Times New Roman" w:cs="Times New Roman"/>
        </w:rPr>
        <w:t>Mapę z naniesioną lokalizacją oczyszczalni ścieków, stanowiącą integralną część dokumentów;</w:t>
      </w:r>
    </w:p>
    <w:p w14:paraId="31960AC3" w14:textId="77777777" w:rsidR="004B605D" w:rsidRDefault="004B605D" w:rsidP="004B605D">
      <w:pPr>
        <w:pStyle w:val="Standard"/>
        <w:numPr>
          <w:ilvl w:val="0"/>
          <w:numId w:val="2"/>
        </w:numPr>
        <w:spacing w:after="110" w:line="240" w:lineRule="auto"/>
        <w:ind w:right="283" w:hanging="240"/>
        <w:jc w:val="both"/>
        <w:rPr>
          <w:rFonts w:ascii="Times New Roman" w:eastAsia="Times New Roman" w:hAnsi="Times New Roman" w:cs="Times New Roman"/>
        </w:rPr>
      </w:pPr>
      <w:r>
        <w:rPr>
          <w:rFonts w:ascii="Times New Roman" w:eastAsia="Times New Roman" w:hAnsi="Times New Roman" w:cs="Times New Roman"/>
        </w:rPr>
        <w:t xml:space="preserve">Wszystkie zaświadczenia/oświadczenia o pomocy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pomocy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w rolnictwie, pomocy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w rybołówstwie, jakie otrzymano w roku podatkowym, w którym podmiot prowadzący działalność gospodarczą ubiega się o pomoc oraz w ciągu dwóch poprzedzających go lat lub oświadczenie o nieotrzymaniu takiej pomocy w tym okresie;</w:t>
      </w:r>
    </w:p>
    <w:p w14:paraId="6427ACCF" w14:textId="77777777" w:rsidR="004B605D" w:rsidRDefault="004B605D" w:rsidP="004B605D">
      <w:pPr>
        <w:pStyle w:val="Standard"/>
        <w:numPr>
          <w:ilvl w:val="0"/>
          <w:numId w:val="2"/>
        </w:numPr>
        <w:spacing w:after="110" w:line="240" w:lineRule="auto"/>
        <w:ind w:right="283" w:hanging="240"/>
        <w:jc w:val="both"/>
        <w:rPr>
          <w:rFonts w:ascii="Times New Roman" w:eastAsia="Times New Roman" w:hAnsi="Times New Roman" w:cs="Times New Roman"/>
        </w:rPr>
      </w:pPr>
      <w:r>
        <w:rPr>
          <w:rFonts w:ascii="Times New Roman" w:eastAsia="Times New Roman" w:hAnsi="Times New Roman" w:cs="Times New Roman"/>
        </w:rPr>
        <w:t xml:space="preserve">Informacje niezbędne do udzielenia pomocy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określonych w rozporządzeniu Rady Ministrów z dnia 29 marca 2010 r. w sprawie zakresu informacji przedstawianych przez podmiot ubiegający się  o pomoc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(Dz. U. z 2010 r. Nr 53 poz. 311 ze zm.);</w:t>
      </w:r>
    </w:p>
    <w:p w14:paraId="611D7676" w14:textId="77777777" w:rsidR="004B605D" w:rsidRDefault="004B605D" w:rsidP="004B605D">
      <w:pPr>
        <w:pStyle w:val="Standard"/>
        <w:numPr>
          <w:ilvl w:val="0"/>
          <w:numId w:val="2"/>
        </w:numPr>
        <w:spacing w:after="110" w:line="240" w:lineRule="auto"/>
        <w:ind w:right="283" w:hanging="240"/>
        <w:jc w:val="both"/>
        <w:rPr>
          <w:rFonts w:ascii="Times New Roman" w:eastAsia="Times New Roman" w:hAnsi="Times New Roman" w:cs="Times New Roman"/>
        </w:rPr>
      </w:pPr>
      <w:r>
        <w:rPr>
          <w:rFonts w:ascii="Times New Roman" w:eastAsia="Times New Roman" w:hAnsi="Times New Roman" w:cs="Times New Roman"/>
        </w:rPr>
        <w:t xml:space="preserve">Informacje niezbędne do udzielenia pomocy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w rolnictwie lub rybołówstwie, określone w rozporządzeniu Rady Ministrów z dnia 11 czerwca 2010 r. w sprawie informacji składanych przez podmioty ubiegające się o pomoc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w rolnictwie lub rybołówstwie. (Dz. U. z 2010 r. Nr 121 poz. 810 ze zm.);</w:t>
      </w:r>
    </w:p>
    <w:p w14:paraId="425670F9" w14:textId="77777777" w:rsidR="004B605D" w:rsidRDefault="004B605D" w:rsidP="004B605D">
      <w:pPr>
        <w:pStyle w:val="Standard"/>
        <w:spacing w:after="110" w:line="240" w:lineRule="auto"/>
        <w:ind w:left="1416" w:right="132"/>
        <w:jc w:val="both"/>
      </w:pPr>
      <w:r>
        <w:rPr>
          <w:rFonts w:ascii="Times New Roman" w:eastAsia="Times New Roman" w:hAnsi="Times New Roman" w:cs="Times New Roman"/>
        </w:rPr>
        <w:t>4.  Dokumenty wymienione w ust. 3 pkt 1), 3) i 4) składa się w formie kopii potwierdzonej za zgodność z oryginałem przez Wnioskodawcę.</w:t>
      </w:r>
    </w:p>
    <w:p w14:paraId="0938CDB6" w14:textId="77777777" w:rsidR="004B605D" w:rsidRDefault="004B605D" w:rsidP="004B605D">
      <w:pPr>
        <w:pStyle w:val="Standard"/>
        <w:spacing w:after="110" w:line="240" w:lineRule="auto"/>
        <w:ind w:left="1416" w:right="132"/>
        <w:jc w:val="both"/>
      </w:pPr>
      <w:r>
        <w:rPr>
          <w:rFonts w:ascii="Times New Roman" w:eastAsia="Times New Roman" w:hAnsi="Times New Roman" w:cs="Times New Roman"/>
        </w:rPr>
        <w:t>5.  Obowiązek przedstawienia dokumentów określonych w ust. 3 pkt 5), 6), 7) dotyczy        wyłącznie Wnioskodawców prowadzących działalność gospodarczą bez względu na formę organizacyjno-prawną oraz sposób finansowania.</w:t>
      </w:r>
    </w:p>
    <w:p w14:paraId="63387D02" w14:textId="77777777" w:rsidR="004B605D" w:rsidRDefault="004B605D" w:rsidP="004B605D">
      <w:pPr>
        <w:pStyle w:val="Standard"/>
        <w:spacing w:after="110" w:line="240" w:lineRule="auto"/>
        <w:ind w:left="1416" w:right="132"/>
        <w:jc w:val="both"/>
      </w:pPr>
      <w:r>
        <w:rPr>
          <w:rFonts w:ascii="Times New Roman" w:eastAsia="Times New Roman" w:hAnsi="Times New Roman" w:cs="Times New Roman"/>
        </w:rPr>
        <w:t>6.  Jeśli przedłożony wniosek nie spełnia warunków określonych w regulaminie koniecznych do udzielenia dotacji, Wnioskodawca zostaje wezwany do złożenia wyjaśnień lub przedłożenia dodatkowych dokumentów w terminie 7 dni od daty otrzymania wezwania. W przypadku braku uzupełnienia we wskazanym terminie, wniosek zostaje pozostawiony bez rozpatrzenia, o czym Wnioskodawca zostanie poinformowany odrębnym pismem.</w:t>
      </w:r>
    </w:p>
    <w:p w14:paraId="092090EB" w14:textId="77777777" w:rsidR="004B605D" w:rsidRDefault="004B605D" w:rsidP="004B605D">
      <w:pPr>
        <w:pStyle w:val="Standard"/>
        <w:spacing w:after="110" w:line="240" w:lineRule="auto"/>
        <w:ind w:left="1416" w:right="132"/>
        <w:jc w:val="both"/>
      </w:pPr>
      <w:r>
        <w:rPr>
          <w:rFonts w:ascii="Times New Roman" w:eastAsia="Times New Roman" w:hAnsi="Times New Roman" w:cs="Times New Roman"/>
        </w:rPr>
        <w:t xml:space="preserve">7. Wnioski o udzielenie dotacji podlegają ocenie w zakresie celowości i zgodności inwestycji, będącej przedmiotem wniosku, z przepisami ustawy z dnia 27 kwietnia 2001 r. – </w:t>
      </w:r>
      <w:r>
        <w:rPr>
          <w:rFonts w:ascii="Times New Roman" w:eastAsia="Times New Roman" w:hAnsi="Times New Roman" w:cs="Times New Roman"/>
          <w:i/>
        </w:rPr>
        <w:t>Prawo ochrony środowiska</w:t>
      </w:r>
      <w:r>
        <w:rPr>
          <w:rFonts w:ascii="Times New Roman" w:eastAsia="Times New Roman" w:hAnsi="Times New Roman" w:cs="Times New Roman"/>
        </w:rPr>
        <w:t>.</w:t>
      </w:r>
    </w:p>
    <w:p w14:paraId="41643D05" w14:textId="77777777" w:rsidR="004B605D" w:rsidRDefault="004B605D" w:rsidP="004B605D">
      <w:pPr>
        <w:pStyle w:val="Standard"/>
        <w:spacing w:after="110" w:line="240" w:lineRule="auto"/>
        <w:ind w:left="1416" w:right="132"/>
        <w:jc w:val="both"/>
      </w:pPr>
      <w:r>
        <w:rPr>
          <w:rFonts w:ascii="Times New Roman" w:eastAsia="Times New Roman" w:hAnsi="Times New Roman" w:cs="Times New Roman"/>
        </w:rPr>
        <w:t>8.  Ustalenia pracowników Wydziału Ochrony Środowiska i Rolnictwa stanowią podstawę do przedłożenia wniosku zespołowi powołanemu przez Burmistrza Miasta i Gminy Góra Kalwaria celem weryfikacji. Posiedzenia zespołu odbywają się po upływie każdego terminu naboru z uwzględnieniem terminów uzupełnień, o którym mowa w ust. 6.</w:t>
      </w:r>
    </w:p>
    <w:p w14:paraId="3D85C4C1" w14:textId="77777777" w:rsidR="004B605D" w:rsidRDefault="004B605D" w:rsidP="004B605D">
      <w:pPr>
        <w:pStyle w:val="Standard"/>
        <w:spacing w:after="110" w:line="240" w:lineRule="auto"/>
        <w:ind w:left="1416" w:right="132"/>
        <w:jc w:val="both"/>
      </w:pPr>
      <w:r>
        <w:rPr>
          <w:rFonts w:ascii="Times New Roman" w:eastAsia="Times New Roman" w:hAnsi="Times New Roman" w:cs="Times New Roman"/>
        </w:rPr>
        <w:t>9. W przypadku negatywnego rozpatrzenia wniosku, Burmistrz Miasta i Gminy Góra Kalwaria poinformuje pisemnie Wnioskodawcę podając przyczyny rozstrzygnięcia.</w:t>
      </w:r>
    </w:p>
    <w:p w14:paraId="4FD9F515" w14:textId="77777777" w:rsidR="004B605D" w:rsidRDefault="004B605D" w:rsidP="004B605D">
      <w:pPr>
        <w:pStyle w:val="Standard"/>
        <w:spacing w:after="110" w:line="240" w:lineRule="auto"/>
        <w:ind w:left="1416" w:right="132"/>
        <w:jc w:val="both"/>
        <w:rPr>
          <w:rFonts w:ascii="Times New Roman" w:eastAsia="Times New Roman" w:hAnsi="Times New Roman" w:cs="Times New Roman"/>
        </w:rPr>
      </w:pPr>
      <w:r>
        <w:rPr>
          <w:rFonts w:ascii="Times New Roman" w:eastAsia="Times New Roman" w:hAnsi="Times New Roman" w:cs="Times New Roman"/>
        </w:rPr>
        <w:lastRenderedPageBreak/>
        <w:t>10. W przypadku pozytywnego rozpatrzenia wniosku, z Wnioskodawcą zawarta zostaje umowa o udzielenie dotacji, określająca termin i warunki realizacji przedsięwzięcia oraz termin złożenia wniosku o wypłatę dotacji.</w:t>
      </w:r>
    </w:p>
    <w:p w14:paraId="36AE0E8F" w14:textId="77777777" w:rsidR="004B605D" w:rsidRDefault="004B605D" w:rsidP="004B605D">
      <w:pPr>
        <w:pStyle w:val="Standard"/>
        <w:spacing w:after="110" w:line="240" w:lineRule="auto"/>
        <w:ind w:right="132"/>
        <w:jc w:val="both"/>
      </w:pPr>
    </w:p>
    <w:p w14:paraId="4E71602F" w14:textId="77777777" w:rsidR="004B605D" w:rsidRDefault="004B605D" w:rsidP="004B605D">
      <w:pPr>
        <w:pStyle w:val="Standard"/>
        <w:spacing w:after="116" w:line="240" w:lineRule="auto"/>
        <w:ind w:left="433" w:right="3" w:hanging="10"/>
        <w:jc w:val="center"/>
      </w:pPr>
      <w:r>
        <w:rPr>
          <w:rFonts w:ascii="Times New Roman" w:eastAsia="Times New Roman" w:hAnsi="Times New Roman" w:cs="Times New Roman"/>
          <w:b/>
        </w:rPr>
        <w:t>Rozdział 5.</w:t>
      </w:r>
    </w:p>
    <w:p w14:paraId="6E83DBEA" w14:textId="77777777" w:rsidR="004B605D" w:rsidRDefault="004B605D" w:rsidP="004B605D">
      <w:pPr>
        <w:pStyle w:val="Standard"/>
        <w:spacing w:after="229" w:line="240" w:lineRule="auto"/>
        <w:ind w:left="433" w:right="4" w:hanging="10"/>
        <w:jc w:val="center"/>
      </w:pPr>
      <w:r>
        <w:rPr>
          <w:rFonts w:ascii="Times New Roman" w:eastAsia="Times New Roman" w:hAnsi="Times New Roman" w:cs="Times New Roman"/>
          <w:b/>
        </w:rPr>
        <w:t>Realizacja przedsięwzięcia</w:t>
      </w:r>
    </w:p>
    <w:p w14:paraId="53988EFA" w14:textId="77777777" w:rsidR="004B605D" w:rsidRDefault="004B605D" w:rsidP="004B605D">
      <w:pPr>
        <w:pStyle w:val="Standard"/>
        <w:spacing w:after="110" w:line="240" w:lineRule="auto"/>
        <w:ind w:left="1049" w:right="33"/>
        <w:jc w:val="both"/>
      </w:pPr>
      <w:r>
        <w:rPr>
          <w:rFonts w:ascii="Times New Roman" w:eastAsia="Times New Roman" w:hAnsi="Times New Roman" w:cs="Times New Roman"/>
          <w:b/>
        </w:rPr>
        <w:t xml:space="preserve">§ 8. </w:t>
      </w:r>
      <w:r>
        <w:rPr>
          <w:rFonts w:ascii="Times New Roman" w:eastAsia="Times New Roman" w:hAnsi="Times New Roman" w:cs="Times New Roman"/>
        </w:rPr>
        <w:t>Realizacja zadania może nastąpić po zawarciu umowy z Gminą Góra Kalwaria.</w:t>
      </w:r>
    </w:p>
    <w:p w14:paraId="1EB1E71C" w14:textId="77777777" w:rsidR="004B605D" w:rsidRDefault="004B605D" w:rsidP="004B605D">
      <w:pPr>
        <w:pStyle w:val="Standard"/>
        <w:spacing w:after="110" w:line="240" w:lineRule="auto"/>
        <w:ind w:left="708" w:right="33" w:firstLine="331"/>
        <w:jc w:val="both"/>
      </w:pPr>
      <w:r>
        <w:rPr>
          <w:rFonts w:ascii="Times New Roman" w:eastAsia="Times New Roman" w:hAnsi="Times New Roman" w:cs="Times New Roman"/>
          <w:b/>
        </w:rPr>
        <w:t xml:space="preserve">§ 9. </w:t>
      </w:r>
      <w:r>
        <w:rPr>
          <w:rFonts w:ascii="Times New Roman" w:eastAsia="Times New Roman" w:hAnsi="Times New Roman" w:cs="Times New Roman"/>
        </w:rPr>
        <w:t>Wnioskodawca zobowiązany jest do zrealizowania przedsięwzięcia zgodnie z obowiązującymi przepisami prawa.</w:t>
      </w:r>
    </w:p>
    <w:p w14:paraId="29FBF24B" w14:textId="77777777" w:rsidR="004B605D" w:rsidRDefault="004B605D" w:rsidP="004B605D">
      <w:pPr>
        <w:pStyle w:val="Standard"/>
        <w:spacing w:after="116" w:line="240" w:lineRule="auto"/>
        <w:ind w:left="433" w:right="3" w:hanging="10"/>
        <w:jc w:val="center"/>
        <w:rPr>
          <w:rFonts w:ascii="Times New Roman" w:eastAsia="Times New Roman" w:hAnsi="Times New Roman" w:cs="Times New Roman"/>
          <w:b/>
        </w:rPr>
      </w:pPr>
    </w:p>
    <w:p w14:paraId="418AE7E9" w14:textId="77777777" w:rsidR="004B605D" w:rsidRDefault="004B605D" w:rsidP="004B605D">
      <w:pPr>
        <w:pStyle w:val="Standard"/>
        <w:spacing w:after="116" w:line="240" w:lineRule="auto"/>
        <w:ind w:left="433" w:right="3" w:hanging="10"/>
        <w:jc w:val="center"/>
      </w:pPr>
      <w:r>
        <w:rPr>
          <w:rFonts w:ascii="Times New Roman" w:eastAsia="Times New Roman" w:hAnsi="Times New Roman" w:cs="Times New Roman"/>
          <w:b/>
        </w:rPr>
        <w:t>Rozdział 6.</w:t>
      </w:r>
    </w:p>
    <w:p w14:paraId="08EFA61F" w14:textId="77777777" w:rsidR="004B605D" w:rsidRDefault="004B605D" w:rsidP="004B605D">
      <w:pPr>
        <w:pStyle w:val="Standard"/>
        <w:spacing w:after="229" w:line="240" w:lineRule="auto"/>
        <w:ind w:left="433" w:right="2" w:hanging="10"/>
        <w:jc w:val="center"/>
      </w:pPr>
      <w:r>
        <w:rPr>
          <w:rFonts w:ascii="Times New Roman" w:eastAsia="Times New Roman" w:hAnsi="Times New Roman" w:cs="Times New Roman"/>
          <w:b/>
        </w:rPr>
        <w:t>Sposób rozliczenia dotacji</w:t>
      </w:r>
    </w:p>
    <w:p w14:paraId="6CC4A9E2" w14:textId="77777777" w:rsidR="004B605D" w:rsidRDefault="004B605D" w:rsidP="004B605D">
      <w:pPr>
        <w:pStyle w:val="Standard"/>
        <w:spacing w:after="110" w:line="240" w:lineRule="auto"/>
        <w:ind w:left="708" w:right="282" w:firstLine="331"/>
        <w:jc w:val="both"/>
      </w:pPr>
      <w:r>
        <w:rPr>
          <w:rFonts w:ascii="Times New Roman" w:eastAsia="Times New Roman" w:hAnsi="Times New Roman" w:cs="Times New Roman"/>
          <w:b/>
        </w:rPr>
        <w:t xml:space="preserve">§ 10. </w:t>
      </w:r>
      <w:r>
        <w:rPr>
          <w:rFonts w:ascii="Times New Roman" w:eastAsia="Times New Roman" w:hAnsi="Times New Roman" w:cs="Times New Roman"/>
        </w:rPr>
        <w:t xml:space="preserve">1. Po zakończeniu realizacji przedsięwzięcia Wnioskodawca zobowiązany jest złożyć w ustalonym terminie, wniosek o wypłatę dotacji celowej, którego wzór stanowi załącznik nr 2 do regulaminu wraz z wymaganymi dokumentami.  </w:t>
      </w:r>
    </w:p>
    <w:p w14:paraId="4FB62CE6" w14:textId="77777777" w:rsidR="004B605D" w:rsidRDefault="004B605D" w:rsidP="004B605D">
      <w:pPr>
        <w:pStyle w:val="Standard"/>
        <w:numPr>
          <w:ilvl w:val="1"/>
          <w:numId w:val="3"/>
        </w:numPr>
        <w:spacing w:after="110" w:line="240" w:lineRule="auto"/>
        <w:ind w:right="84" w:firstLine="331"/>
        <w:jc w:val="both"/>
        <w:rPr>
          <w:rFonts w:ascii="Times New Roman" w:eastAsia="Times New Roman" w:hAnsi="Times New Roman" w:cs="Times New Roman"/>
        </w:rPr>
      </w:pPr>
      <w:r>
        <w:rPr>
          <w:rFonts w:ascii="Times New Roman" w:eastAsia="Times New Roman" w:hAnsi="Times New Roman" w:cs="Times New Roman"/>
        </w:rPr>
        <w:t>Niedotrzymanie terminu złożenia wniosku o wypłatę dotacji uznane będzie za rezygnację Wnioskodawcy z otrzymania dotacji i rozwiązanie zawartej umowy, o której mowa w § 8.</w:t>
      </w:r>
    </w:p>
    <w:p w14:paraId="1AE55FAE" w14:textId="77777777" w:rsidR="004B605D" w:rsidRDefault="004B605D" w:rsidP="004B605D">
      <w:pPr>
        <w:pStyle w:val="Standard"/>
        <w:numPr>
          <w:ilvl w:val="1"/>
          <w:numId w:val="3"/>
        </w:numPr>
        <w:spacing w:after="110" w:line="240" w:lineRule="auto"/>
        <w:ind w:right="84" w:firstLine="331"/>
        <w:jc w:val="both"/>
        <w:rPr>
          <w:rFonts w:ascii="Times New Roman" w:eastAsia="Times New Roman" w:hAnsi="Times New Roman" w:cs="Times New Roman"/>
        </w:rPr>
      </w:pPr>
      <w:r>
        <w:rPr>
          <w:rFonts w:ascii="Times New Roman" w:eastAsia="Times New Roman" w:hAnsi="Times New Roman" w:cs="Times New Roman"/>
        </w:rPr>
        <w:t>W uzasadnionych przypadkach dopuszcza się zmianę terminu złożenia wniosku o wypłatę dotacji, jeżeli przed upływem terminu, o którym mowa w § 10 pkt 1, Wnioskodawca złoży pisemne wyjaśnienia.</w:t>
      </w:r>
    </w:p>
    <w:p w14:paraId="6C944DCE" w14:textId="77777777" w:rsidR="004B605D" w:rsidRDefault="004B605D" w:rsidP="004B605D">
      <w:pPr>
        <w:pStyle w:val="Standard"/>
        <w:spacing w:after="110" w:line="240" w:lineRule="auto"/>
        <w:ind w:left="708" w:right="284" w:firstLine="331"/>
        <w:jc w:val="both"/>
      </w:pPr>
      <w:r>
        <w:rPr>
          <w:rFonts w:ascii="Times New Roman" w:eastAsia="Times New Roman" w:hAnsi="Times New Roman" w:cs="Times New Roman"/>
          <w:b/>
        </w:rPr>
        <w:t xml:space="preserve">§ 11. </w:t>
      </w:r>
      <w:r>
        <w:rPr>
          <w:rFonts w:ascii="Times New Roman" w:eastAsia="Times New Roman" w:hAnsi="Times New Roman" w:cs="Times New Roman"/>
        </w:rPr>
        <w:t>Do wniosku o wypłatę dotacji do budowy przydomowej oczyszczalni ścieków należy dołączyć faktury przedstawiające poniesione koszty zakupu przydomowej oczyszczalni ścieków wystawione na Wnioskodawcę (w oryginale do wglądu).</w:t>
      </w:r>
    </w:p>
    <w:p w14:paraId="1079CF80" w14:textId="77777777" w:rsidR="004B605D" w:rsidRDefault="004B605D" w:rsidP="004B605D">
      <w:pPr>
        <w:pStyle w:val="Standard"/>
        <w:spacing w:after="110" w:line="240" w:lineRule="auto"/>
        <w:ind w:left="708" w:right="33" w:firstLine="331"/>
        <w:jc w:val="both"/>
      </w:pPr>
      <w:r>
        <w:rPr>
          <w:rFonts w:ascii="Times New Roman" w:eastAsia="Times New Roman" w:hAnsi="Times New Roman" w:cs="Times New Roman"/>
          <w:b/>
        </w:rPr>
        <w:t xml:space="preserve">§ 12. </w:t>
      </w:r>
      <w:r>
        <w:rPr>
          <w:rFonts w:ascii="Times New Roman" w:eastAsia="Times New Roman" w:hAnsi="Times New Roman" w:cs="Times New Roman"/>
        </w:rPr>
        <w:t>Warunkiem wypłacenia dotacji jest zrealizowanie przedsięwzięcia zgodnie z warunkami zawartej umowy oraz złożenie wniosku o wypłatę dotacji wraz z załącznikami, o których mowa w § 11.</w:t>
      </w:r>
    </w:p>
    <w:p w14:paraId="2C1A1820" w14:textId="77777777" w:rsidR="004B605D" w:rsidRDefault="004B605D" w:rsidP="004B605D">
      <w:pPr>
        <w:pStyle w:val="Standard"/>
        <w:spacing w:after="110" w:line="240" w:lineRule="auto"/>
        <w:ind w:left="708" w:right="286" w:firstLine="331"/>
        <w:jc w:val="both"/>
      </w:pPr>
      <w:r>
        <w:rPr>
          <w:rFonts w:ascii="Times New Roman" w:eastAsia="Times New Roman" w:hAnsi="Times New Roman" w:cs="Times New Roman"/>
          <w:b/>
        </w:rPr>
        <w:t xml:space="preserve">§ 13. </w:t>
      </w:r>
      <w:r>
        <w:rPr>
          <w:rFonts w:ascii="Times New Roman" w:eastAsia="Times New Roman" w:hAnsi="Times New Roman" w:cs="Times New Roman"/>
        </w:rPr>
        <w:t xml:space="preserve">Przyznana dotacja wykorzystana niezgodnie z przeznaczeniem, pobrana nienależnie lub w nadmiernej wysokości podlega zwrotowi na zasadach określonych w art. 252 </w:t>
      </w:r>
      <w:r>
        <w:rPr>
          <w:rFonts w:ascii="Times New Roman" w:eastAsia="Times New Roman" w:hAnsi="Times New Roman" w:cs="Times New Roman"/>
          <w:i/>
        </w:rPr>
        <w:t>Ustawy z dnia 27 sierpnia 2009 roku  o finansach publicznych</w:t>
      </w:r>
      <w:r>
        <w:rPr>
          <w:rFonts w:ascii="Times New Roman" w:eastAsia="Times New Roman" w:hAnsi="Times New Roman" w:cs="Times New Roman"/>
        </w:rPr>
        <w:t xml:space="preserve">.  </w:t>
      </w:r>
    </w:p>
    <w:p w14:paraId="001C4711" w14:textId="77777777" w:rsidR="004B605D" w:rsidRDefault="004B605D" w:rsidP="004B605D">
      <w:pPr>
        <w:pStyle w:val="Standard"/>
        <w:spacing w:after="158"/>
        <w:ind w:left="708"/>
      </w:pPr>
      <w:r>
        <w:t xml:space="preserve"> </w:t>
      </w:r>
    </w:p>
    <w:p w14:paraId="57DEF692" w14:textId="77777777" w:rsidR="004B605D" w:rsidRDefault="004B605D" w:rsidP="004B605D">
      <w:pPr>
        <w:pStyle w:val="Standard"/>
        <w:ind w:left="708"/>
      </w:pPr>
      <w:r>
        <w:t xml:space="preserve"> </w:t>
      </w:r>
    </w:p>
    <w:p w14:paraId="283E5E35" w14:textId="77777777" w:rsidR="0030125C" w:rsidRDefault="004B605D"/>
    <w:sectPr w:rsidR="003012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610AF"/>
    <w:multiLevelType w:val="multilevel"/>
    <w:tmpl w:val="5A82882A"/>
    <w:styleLink w:val="WWNum17"/>
    <w:lvl w:ilvl="0">
      <w:start w:val="1"/>
      <w:numFmt w:val="decimal"/>
      <w:lvlText w:val="%1"/>
      <w:lvlJc w:val="left"/>
      <w:pPr>
        <w:ind w:left="360" w:firstLine="0"/>
      </w:pPr>
      <w:rPr>
        <w:rFonts w:eastAsia="Times New Roman" w:cs="Times New Roman"/>
        <w:b w:val="0"/>
        <w:i w:val="0"/>
        <w:strike w:val="0"/>
        <w:dstrike w:val="0"/>
        <w:color w:val="000000"/>
        <w:position w:val="0"/>
        <w:sz w:val="22"/>
        <w:szCs w:val="22"/>
        <w:u w:val="none"/>
        <w:shd w:val="clear" w:color="auto" w:fill="auto"/>
        <w:vertAlign w:val="baseline"/>
      </w:rPr>
    </w:lvl>
    <w:lvl w:ilvl="1">
      <w:start w:val="2"/>
      <w:numFmt w:val="decimal"/>
      <w:lvlText w:val="%2."/>
      <w:lvlJc w:val="left"/>
      <w:pPr>
        <w:ind w:left="708" w:firstLine="0"/>
      </w:pPr>
      <w:rPr>
        <w:rFonts w:eastAsia="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421" w:firstLine="0"/>
      </w:pPr>
      <w:rPr>
        <w:rFonts w:eastAsia="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141" w:firstLine="0"/>
      </w:pPr>
      <w:rPr>
        <w:rFonts w:eastAsia="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861" w:firstLine="0"/>
      </w:pPr>
      <w:rPr>
        <w:rFonts w:eastAsia="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581" w:firstLine="0"/>
      </w:pPr>
      <w:rPr>
        <w:rFonts w:eastAsia="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301" w:firstLine="0"/>
      </w:pPr>
      <w:rPr>
        <w:rFonts w:eastAsia="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021" w:firstLine="0"/>
      </w:pPr>
      <w:rPr>
        <w:rFonts w:eastAsia="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741" w:firstLine="0"/>
      </w:pPr>
      <w:rPr>
        <w:rFonts w:eastAsia="Times New Roman" w:cs="Times New Roman"/>
        <w:b w:val="0"/>
        <w:i w:val="0"/>
        <w:strike w:val="0"/>
        <w:dstrike w:val="0"/>
        <w:color w:val="000000"/>
        <w:position w:val="0"/>
        <w:sz w:val="22"/>
        <w:szCs w:val="22"/>
        <w:u w:val="none"/>
        <w:shd w:val="clear" w:color="auto" w:fill="auto"/>
        <w:vertAlign w:val="baseline"/>
      </w:rPr>
    </w:lvl>
  </w:abstractNum>
  <w:abstractNum w:abstractNumId="1" w15:restartNumberingAfterBreak="0">
    <w:nsid w:val="3D301D82"/>
    <w:multiLevelType w:val="multilevel"/>
    <w:tmpl w:val="7186C2BC"/>
    <w:styleLink w:val="WWNum15"/>
    <w:lvl w:ilvl="0">
      <w:start w:val="2"/>
      <w:numFmt w:val="decimal"/>
      <w:lvlText w:val="%1."/>
      <w:lvlJc w:val="left"/>
      <w:pPr>
        <w:ind w:left="879" w:firstLine="0"/>
      </w:pPr>
      <w:rPr>
        <w:rFonts w:eastAsia="Times New Roman" w:cs="Times New Roman"/>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421" w:firstLine="0"/>
      </w:pPr>
      <w:rPr>
        <w:rFonts w:eastAsia="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141" w:firstLine="0"/>
      </w:pPr>
      <w:rPr>
        <w:rFonts w:eastAsia="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861" w:firstLine="0"/>
      </w:pPr>
      <w:rPr>
        <w:rFonts w:eastAsia="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581" w:firstLine="0"/>
      </w:pPr>
      <w:rPr>
        <w:rFonts w:eastAsia="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301" w:firstLine="0"/>
      </w:pPr>
      <w:rPr>
        <w:rFonts w:eastAsia="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021" w:firstLine="0"/>
      </w:pPr>
      <w:rPr>
        <w:rFonts w:eastAsia="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741" w:firstLine="0"/>
      </w:pPr>
      <w:rPr>
        <w:rFonts w:eastAsia="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461" w:firstLine="0"/>
      </w:pPr>
      <w:rPr>
        <w:rFonts w:eastAsia="Times New Roman" w:cs="Times New Roman"/>
        <w:b w:val="0"/>
        <w:i w:val="0"/>
        <w:strike w:val="0"/>
        <w:dstrike w:val="0"/>
        <w:color w:val="000000"/>
        <w:position w:val="0"/>
        <w:sz w:val="22"/>
        <w:szCs w:val="22"/>
        <w:u w:val="none"/>
        <w:shd w:val="clear" w:color="auto" w:fill="auto"/>
        <w:vertAlign w:val="baseline"/>
      </w:rPr>
    </w:lvl>
  </w:abstractNum>
  <w:abstractNum w:abstractNumId="2" w15:restartNumberingAfterBreak="0">
    <w:nsid w:val="5E467371"/>
    <w:multiLevelType w:val="multilevel"/>
    <w:tmpl w:val="FE84B67C"/>
    <w:styleLink w:val="WWNum16"/>
    <w:lvl w:ilvl="0">
      <w:start w:val="1"/>
      <w:numFmt w:val="decimal"/>
      <w:lvlText w:val="%1)"/>
      <w:lvlJc w:val="left"/>
      <w:pPr>
        <w:ind w:left="1061" w:firstLine="0"/>
      </w:pPr>
      <w:rPr>
        <w:rFonts w:eastAsia="Times New Roman" w:cs="Times New Roman"/>
        <w:b w:val="0"/>
        <w:i w:val="0"/>
        <w:strike w:val="0"/>
        <w:dstrike w:val="0"/>
        <w:color w:val="000000"/>
        <w:position w:val="0"/>
        <w:sz w:val="22"/>
        <w:szCs w:val="22"/>
        <w:u w:val="none"/>
        <w:shd w:val="clear" w:color="auto" w:fill="auto"/>
        <w:vertAlign w:val="baseline"/>
      </w:rPr>
    </w:lvl>
    <w:lvl w:ilvl="1">
      <w:start w:val="4"/>
      <w:numFmt w:val="decimal"/>
      <w:lvlText w:val="%2."/>
      <w:lvlJc w:val="left"/>
      <w:pPr>
        <w:ind w:left="1541" w:firstLine="0"/>
      </w:pPr>
      <w:rPr>
        <w:rFonts w:eastAsia="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421" w:firstLine="0"/>
      </w:pPr>
      <w:rPr>
        <w:rFonts w:eastAsia="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141" w:firstLine="0"/>
      </w:pPr>
      <w:rPr>
        <w:rFonts w:eastAsia="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861" w:firstLine="0"/>
      </w:pPr>
      <w:rPr>
        <w:rFonts w:eastAsia="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581" w:firstLine="0"/>
      </w:pPr>
      <w:rPr>
        <w:rFonts w:eastAsia="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301" w:firstLine="0"/>
      </w:pPr>
      <w:rPr>
        <w:rFonts w:eastAsia="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021" w:firstLine="0"/>
      </w:pPr>
      <w:rPr>
        <w:rFonts w:eastAsia="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741" w:firstLine="0"/>
      </w:pPr>
      <w:rPr>
        <w:rFonts w:eastAsia="Times New Roman" w:cs="Times New Roman"/>
        <w:b w:val="0"/>
        <w:i w:val="0"/>
        <w:strike w:val="0"/>
        <w:dstrike w:val="0"/>
        <w:color w:val="000000"/>
        <w:position w:val="0"/>
        <w:sz w:val="22"/>
        <w:szCs w:val="22"/>
        <w:u w:val="none"/>
        <w:shd w:val="clear" w:color="auto" w:fill="auto"/>
        <w:vertAlign w:val="baseline"/>
      </w:rPr>
    </w:lvl>
  </w:abstractNum>
  <w:num w:numId="1" w16cid:durableId="530924210">
    <w:abstractNumId w:val="1"/>
  </w:num>
  <w:num w:numId="2" w16cid:durableId="2009214850">
    <w:abstractNumId w:val="2"/>
  </w:num>
  <w:num w:numId="3" w16cid:durableId="1431975152">
    <w:abstractNumId w:val="0"/>
  </w:num>
  <w:num w:numId="4" w16cid:durableId="941765976">
    <w:abstractNumId w:val="1"/>
    <w:lvlOverride w:ilvl="0">
      <w:startOverride w:val="2"/>
    </w:lvlOverride>
  </w:num>
  <w:num w:numId="5" w16cid:durableId="110966349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5D"/>
    <w:rsid w:val="004A7440"/>
    <w:rsid w:val="004B605D"/>
    <w:rsid w:val="00EC30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24825"/>
  <w15:chartTrackingRefBased/>
  <w15:docId w15:val="{F7E41033-499A-435F-B623-0B94F57E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B605D"/>
    <w:pPr>
      <w:suppressAutoHyphens/>
      <w:autoSpaceDN w:val="0"/>
      <w:spacing w:line="249" w:lineRule="auto"/>
      <w:textAlignment w:val="baseline"/>
    </w:pPr>
    <w:rPr>
      <w:rFonts w:ascii="Calibri" w:eastAsia="Calibri" w:hAnsi="Calibri" w:cs="Calibri"/>
      <w:color w:val="000000"/>
      <w:lang w:eastAsia="pl-PL"/>
    </w:rPr>
  </w:style>
  <w:style w:type="numbering" w:customStyle="1" w:styleId="WWNum15">
    <w:name w:val="WWNum15"/>
    <w:basedOn w:val="Bezlisty"/>
    <w:rsid w:val="004B605D"/>
    <w:pPr>
      <w:numPr>
        <w:numId w:val="1"/>
      </w:numPr>
    </w:pPr>
  </w:style>
  <w:style w:type="numbering" w:customStyle="1" w:styleId="WWNum16">
    <w:name w:val="WWNum16"/>
    <w:basedOn w:val="Bezlisty"/>
    <w:rsid w:val="004B605D"/>
    <w:pPr>
      <w:numPr>
        <w:numId w:val="2"/>
      </w:numPr>
    </w:pPr>
  </w:style>
  <w:style w:type="numbering" w:customStyle="1" w:styleId="WWNum17">
    <w:name w:val="WWNum17"/>
    <w:basedOn w:val="Bezlisty"/>
    <w:rsid w:val="004B605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6398</Characters>
  <Application>Microsoft Office Word</Application>
  <DocSecurity>0</DocSecurity>
  <Lines>53</Lines>
  <Paragraphs>14</Paragraphs>
  <ScaleCrop>false</ScaleCrop>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Fryderyk Błeszyński</dc:creator>
  <cp:keywords/>
  <dc:description/>
  <cp:lastModifiedBy>Fryderyk Błeszyński</cp:lastModifiedBy>
  <cp:revision>1</cp:revision>
  <dcterms:created xsi:type="dcterms:W3CDTF">2022-04-07T13:01:00Z</dcterms:created>
  <dcterms:modified xsi:type="dcterms:W3CDTF">2022-04-07T13:02:00Z</dcterms:modified>
</cp:coreProperties>
</file>