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6933" w14:textId="0D575FF5" w:rsidR="00227047" w:rsidRDefault="00227047" w:rsidP="00227047">
      <w:pPr>
        <w:pStyle w:val="Standard"/>
        <w:spacing w:after="8" w:line="240" w:lineRule="auto"/>
        <w:ind w:left="10" w:hanging="10"/>
        <w:jc w:val="center"/>
        <w:rPr>
          <w:rFonts w:ascii="Times New Roman" w:eastAsia="Times New Roman" w:hAnsi="Times New Roman" w:cs="Times New Roman"/>
          <w:b/>
        </w:rPr>
      </w:pPr>
      <w:r>
        <w:rPr>
          <w:rFonts w:ascii="Times New Roman" w:eastAsia="Times New Roman" w:hAnsi="Times New Roman" w:cs="Times New Roman"/>
          <w:b/>
        </w:rPr>
        <w:t>UCHWAŁA NR</w:t>
      </w:r>
      <w:r w:rsidR="00D00B1C">
        <w:rPr>
          <w:rFonts w:ascii="Times New Roman" w:eastAsia="Times New Roman" w:hAnsi="Times New Roman" w:cs="Times New Roman"/>
          <w:b/>
        </w:rPr>
        <w:t xml:space="preserve"> LVIII/516/2021</w:t>
      </w:r>
    </w:p>
    <w:p w14:paraId="7E85BC3D" w14:textId="77777777" w:rsidR="00227047" w:rsidRDefault="00227047" w:rsidP="00227047">
      <w:pPr>
        <w:pStyle w:val="Standard"/>
        <w:spacing w:after="8" w:line="240" w:lineRule="auto"/>
        <w:ind w:left="10" w:hanging="10"/>
        <w:jc w:val="center"/>
      </w:pPr>
      <w:r>
        <w:rPr>
          <w:rFonts w:ascii="Times New Roman" w:eastAsia="Times New Roman" w:hAnsi="Times New Roman" w:cs="Times New Roman"/>
          <w:b/>
        </w:rPr>
        <w:t>RADY MIEJSKIEJ GÓRY KALWARII</w:t>
      </w:r>
    </w:p>
    <w:p w14:paraId="6B9373E2" w14:textId="647BBEA7" w:rsidR="00227047" w:rsidRDefault="00227047" w:rsidP="00227047">
      <w:pPr>
        <w:pStyle w:val="Standard"/>
        <w:spacing w:after="258"/>
        <w:jc w:val="center"/>
      </w:pPr>
      <w:r>
        <w:rPr>
          <w:rFonts w:ascii="Times New Roman" w:eastAsia="Times New Roman" w:hAnsi="Times New Roman" w:cs="Times New Roman"/>
        </w:rPr>
        <w:t xml:space="preserve">z dnia  </w:t>
      </w:r>
      <w:r w:rsidR="00D00B1C">
        <w:rPr>
          <w:rFonts w:ascii="Times New Roman" w:eastAsia="Times New Roman" w:hAnsi="Times New Roman" w:cs="Times New Roman"/>
        </w:rPr>
        <w:t>29 września</w:t>
      </w:r>
      <w:r>
        <w:rPr>
          <w:rFonts w:ascii="Times New Roman" w:eastAsia="Times New Roman" w:hAnsi="Times New Roman" w:cs="Times New Roman"/>
        </w:rPr>
        <w:t xml:space="preserve">  2021 r.</w:t>
      </w:r>
    </w:p>
    <w:p w14:paraId="12D18B88" w14:textId="77777777" w:rsidR="00227047" w:rsidRDefault="00227047" w:rsidP="00227047">
      <w:pPr>
        <w:pStyle w:val="Standard"/>
        <w:spacing w:after="469" w:line="240" w:lineRule="auto"/>
        <w:ind w:left="10" w:hanging="10"/>
        <w:jc w:val="center"/>
      </w:pPr>
      <w:r>
        <w:rPr>
          <w:rFonts w:ascii="Times New Roman" w:eastAsia="Times New Roman" w:hAnsi="Times New Roman" w:cs="Times New Roman"/>
          <w:b/>
        </w:rPr>
        <w:t>w sprawie określenia zasad udzielenia dotacji celowych ze środków budżetu Gminy Góra Kalwaria na przedsięwzięcia służące ochronie gospodarki wodnej na terenie Gminy Góra Kalwaria.</w:t>
      </w:r>
    </w:p>
    <w:p w14:paraId="0BE29F93" w14:textId="77777777" w:rsidR="00227047" w:rsidRDefault="00227047" w:rsidP="00227047">
      <w:pPr>
        <w:pStyle w:val="Standard"/>
        <w:spacing w:after="109" w:line="240" w:lineRule="auto"/>
        <w:ind w:left="-15" w:firstLine="227"/>
        <w:jc w:val="both"/>
      </w:pPr>
      <w:r>
        <w:rPr>
          <w:rFonts w:ascii="Times New Roman" w:eastAsia="Times New Roman" w:hAnsi="Times New Roman" w:cs="Times New Roman"/>
        </w:rPr>
        <w:t xml:space="preserve">Na podstawie art. 18 ust. 2 pkt 15 ustawy z dnia 8 marca 1990 r. o </w:t>
      </w:r>
      <w:r>
        <w:rPr>
          <w:rFonts w:ascii="Times New Roman" w:eastAsia="Times New Roman" w:hAnsi="Times New Roman" w:cs="Times New Roman"/>
          <w:i/>
        </w:rPr>
        <w:t>samorządzie gminnym</w:t>
      </w:r>
      <w:r>
        <w:rPr>
          <w:rFonts w:ascii="Times New Roman" w:eastAsia="Times New Roman" w:hAnsi="Times New Roman" w:cs="Times New Roman"/>
        </w:rPr>
        <w:t xml:space="preserve"> (Dz. </w:t>
      </w:r>
      <w:proofErr w:type="spellStart"/>
      <w:r>
        <w:rPr>
          <w:rFonts w:ascii="Times New Roman" w:eastAsia="Times New Roman" w:hAnsi="Times New Roman" w:cs="Times New Roman"/>
        </w:rPr>
        <w:t>U.z</w:t>
      </w:r>
      <w:proofErr w:type="spellEnd"/>
      <w:r>
        <w:rPr>
          <w:rFonts w:ascii="Times New Roman" w:eastAsia="Times New Roman" w:hAnsi="Times New Roman" w:cs="Times New Roman"/>
        </w:rPr>
        <w:t xml:space="preserve"> 2021 r. poz. 1372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xml:space="preserve">. zm.) oraz art. 400a ust. 1 pkt 2, 9 w związku z art. 403 ust. 2, 4, 5 ustawy z dnia 27 kwietnia 2001 r. </w:t>
      </w:r>
      <w:r>
        <w:rPr>
          <w:rFonts w:ascii="Times New Roman" w:eastAsia="Times New Roman" w:hAnsi="Times New Roman" w:cs="Times New Roman"/>
          <w:i/>
        </w:rPr>
        <w:t xml:space="preserve">Prawo ochrony środowiska </w:t>
      </w:r>
      <w:r>
        <w:rPr>
          <w:rFonts w:ascii="Times New Roman" w:eastAsia="Times New Roman" w:hAnsi="Times New Roman" w:cs="Times New Roman"/>
        </w:rPr>
        <w:t xml:space="preserve">(Dz. U. z 2020 r. poz. 1219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uchwala, co następuje:</w:t>
      </w:r>
    </w:p>
    <w:p w14:paraId="1010829A"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1. </w:t>
      </w:r>
      <w:r>
        <w:rPr>
          <w:rFonts w:ascii="Times New Roman" w:eastAsia="Times New Roman" w:hAnsi="Times New Roman" w:cs="Times New Roman"/>
        </w:rPr>
        <w:t>Określa się zasady udzielania dotacji celowej z budżetu Gminy Góra Kalwaria, na finansowanie lub dofinansowanie przedsięwzięć służących ochronie gospodarki wodnej, realizowanych na terenie Gminy Góra Kalwaria.</w:t>
      </w:r>
    </w:p>
    <w:p w14:paraId="646F0A43"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2. </w:t>
      </w:r>
      <w:r>
        <w:rPr>
          <w:rFonts w:ascii="Times New Roman" w:eastAsia="Times New Roman" w:hAnsi="Times New Roman" w:cs="Times New Roman"/>
        </w:rPr>
        <w:t>O uzyskanie dotacji na przedsięwzięcia służące ochronie gospodarki wodnej na terenie Gminy Góra Kalwaria mogą ubiegać się:</w:t>
      </w:r>
    </w:p>
    <w:p w14:paraId="12E98EA6" w14:textId="77777777" w:rsidR="00227047" w:rsidRDefault="00227047" w:rsidP="00227047">
      <w:pPr>
        <w:pStyle w:val="Standard"/>
        <w:numPr>
          <w:ilvl w:val="0"/>
          <w:numId w:val="3"/>
        </w:numPr>
        <w:spacing w:after="109" w:line="240" w:lineRule="auto"/>
        <w:ind w:hanging="227"/>
        <w:jc w:val="both"/>
        <w:rPr>
          <w:rFonts w:ascii="Times New Roman" w:eastAsia="Times New Roman" w:hAnsi="Times New Roman" w:cs="Times New Roman"/>
        </w:rPr>
      </w:pPr>
      <w:r>
        <w:rPr>
          <w:rFonts w:ascii="Times New Roman" w:eastAsia="Times New Roman" w:hAnsi="Times New Roman" w:cs="Times New Roman"/>
        </w:rPr>
        <w:t>podmioty niezaliczone do sektora finansów publicznych, posiadające prawo własności lub użytkowania wieczystego w szczególności:</w:t>
      </w:r>
    </w:p>
    <w:p w14:paraId="251235C5" w14:textId="77777777" w:rsidR="00227047" w:rsidRDefault="00227047" w:rsidP="00227047">
      <w:pPr>
        <w:pStyle w:val="Standard"/>
        <w:numPr>
          <w:ilvl w:val="1"/>
          <w:numId w:val="1"/>
        </w:numPr>
        <w:spacing w:after="109" w:line="240" w:lineRule="auto"/>
        <w:ind w:hanging="238"/>
        <w:jc w:val="both"/>
        <w:rPr>
          <w:rFonts w:ascii="Times New Roman" w:eastAsia="Times New Roman" w:hAnsi="Times New Roman" w:cs="Times New Roman"/>
        </w:rPr>
      </w:pPr>
      <w:r>
        <w:rPr>
          <w:rFonts w:ascii="Times New Roman" w:eastAsia="Times New Roman" w:hAnsi="Times New Roman" w:cs="Times New Roman"/>
        </w:rPr>
        <w:t>osoby fizyczne,</w:t>
      </w:r>
    </w:p>
    <w:p w14:paraId="46A59AA3" w14:textId="77777777" w:rsidR="00227047" w:rsidRDefault="00227047" w:rsidP="00227047">
      <w:pPr>
        <w:pStyle w:val="Standard"/>
        <w:numPr>
          <w:ilvl w:val="1"/>
          <w:numId w:val="1"/>
        </w:numPr>
        <w:spacing w:after="109" w:line="240" w:lineRule="auto"/>
        <w:ind w:hanging="238"/>
        <w:jc w:val="both"/>
        <w:rPr>
          <w:rFonts w:ascii="Times New Roman" w:eastAsia="Times New Roman" w:hAnsi="Times New Roman" w:cs="Times New Roman"/>
        </w:rPr>
      </w:pPr>
      <w:r>
        <w:rPr>
          <w:rFonts w:ascii="Times New Roman" w:eastAsia="Times New Roman" w:hAnsi="Times New Roman" w:cs="Times New Roman"/>
        </w:rPr>
        <w:t>wspólnoty mieszkaniowe,</w:t>
      </w:r>
    </w:p>
    <w:p w14:paraId="5A2A3169" w14:textId="77777777" w:rsidR="00227047" w:rsidRDefault="00227047" w:rsidP="00227047">
      <w:pPr>
        <w:pStyle w:val="Standard"/>
        <w:numPr>
          <w:ilvl w:val="1"/>
          <w:numId w:val="1"/>
        </w:numPr>
        <w:spacing w:after="109" w:line="240" w:lineRule="auto"/>
        <w:ind w:hanging="238"/>
        <w:jc w:val="both"/>
        <w:rPr>
          <w:rFonts w:ascii="Times New Roman" w:eastAsia="Times New Roman" w:hAnsi="Times New Roman" w:cs="Times New Roman"/>
        </w:rPr>
      </w:pPr>
      <w:r>
        <w:rPr>
          <w:rFonts w:ascii="Times New Roman" w:eastAsia="Times New Roman" w:hAnsi="Times New Roman" w:cs="Times New Roman"/>
        </w:rPr>
        <w:t>osoby prawne,</w:t>
      </w:r>
    </w:p>
    <w:p w14:paraId="1FB66CF4" w14:textId="77777777" w:rsidR="00227047" w:rsidRDefault="00227047" w:rsidP="00227047">
      <w:pPr>
        <w:pStyle w:val="Standard"/>
        <w:numPr>
          <w:ilvl w:val="1"/>
          <w:numId w:val="1"/>
        </w:numPr>
        <w:spacing w:after="109" w:line="240" w:lineRule="auto"/>
        <w:ind w:hanging="238"/>
        <w:jc w:val="both"/>
        <w:rPr>
          <w:rFonts w:ascii="Times New Roman" w:eastAsia="Times New Roman" w:hAnsi="Times New Roman" w:cs="Times New Roman"/>
        </w:rPr>
      </w:pPr>
      <w:r>
        <w:rPr>
          <w:rFonts w:ascii="Times New Roman" w:eastAsia="Times New Roman" w:hAnsi="Times New Roman" w:cs="Times New Roman"/>
        </w:rPr>
        <w:t>przedsiębiorcy,</w:t>
      </w:r>
    </w:p>
    <w:p w14:paraId="347E7E05" w14:textId="77777777" w:rsidR="00227047" w:rsidRDefault="00227047" w:rsidP="00227047">
      <w:pPr>
        <w:pStyle w:val="Standard"/>
        <w:numPr>
          <w:ilvl w:val="0"/>
          <w:numId w:val="1"/>
        </w:numPr>
        <w:spacing w:after="109" w:line="240" w:lineRule="auto"/>
        <w:ind w:hanging="227"/>
        <w:jc w:val="both"/>
      </w:pPr>
      <w:r>
        <w:rPr>
          <w:rFonts w:ascii="Times New Roman" w:eastAsia="Times New Roman" w:hAnsi="Times New Roman" w:cs="Times New Roman"/>
        </w:rPr>
        <w:t>jednostki sektora finansów publicznych będące gminnymi osobami prawnymi, na terenie Miasta i Gminy Góra Kalwaria.</w:t>
      </w:r>
    </w:p>
    <w:p w14:paraId="73B55430" w14:textId="77777777" w:rsidR="00227047" w:rsidRDefault="00227047" w:rsidP="00227047">
      <w:pPr>
        <w:pStyle w:val="Standard"/>
        <w:spacing w:after="109" w:line="240" w:lineRule="auto"/>
        <w:ind w:left="-15" w:firstLine="340"/>
        <w:jc w:val="both"/>
      </w:pPr>
      <w:r>
        <w:rPr>
          <w:rFonts w:ascii="Times New Roman" w:eastAsia="Times New Roman" w:hAnsi="Times New Roman" w:cs="Times New Roman"/>
          <w:b/>
        </w:rPr>
        <w:t xml:space="preserve">§ 3. </w:t>
      </w:r>
      <w:r>
        <w:rPr>
          <w:rFonts w:ascii="Times New Roman" w:eastAsia="Times New Roman" w:hAnsi="Times New Roman" w:cs="Times New Roman"/>
        </w:rPr>
        <w:t>Wysokość środków na poszczególne dotacje w każdym roku określana będzie w budżecie gminy przyjętym uchwałą budżetową na dany rok budżetowy.</w:t>
      </w:r>
    </w:p>
    <w:p w14:paraId="0E6BB57E" w14:textId="77777777" w:rsidR="00227047" w:rsidRDefault="00227047" w:rsidP="00227047">
      <w:pPr>
        <w:pStyle w:val="Standard"/>
        <w:spacing w:after="109" w:line="240" w:lineRule="auto"/>
        <w:ind w:left="350" w:hanging="10"/>
        <w:jc w:val="both"/>
      </w:pPr>
      <w:r>
        <w:rPr>
          <w:rFonts w:ascii="Times New Roman" w:eastAsia="Times New Roman" w:hAnsi="Times New Roman" w:cs="Times New Roman"/>
          <w:b/>
        </w:rPr>
        <w:t xml:space="preserve">§ 4. </w:t>
      </w:r>
      <w:r>
        <w:rPr>
          <w:rFonts w:ascii="Times New Roman" w:eastAsia="Times New Roman" w:hAnsi="Times New Roman" w:cs="Times New Roman"/>
        </w:rPr>
        <w:t>Środki przeznaczane będą na realizację przedsięwzięć polegających na:</w:t>
      </w:r>
    </w:p>
    <w:p w14:paraId="551E6695" w14:textId="77777777" w:rsidR="00227047" w:rsidRDefault="00227047" w:rsidP="00227047">
      <w:pPr>
        <w:pStyle w:val="Standard"/>
        <w:numPr>
          <w:ilvl w:val="0"/>
          <w:numId w:val="4"/>
        </w:numPr>
        <w:spacing w:after="109" w:line="240" w:lineRule="auto"/>
        <w:ind w:hanging="227"/>
        <w:jc w:val="both"/>
      </w:pPr>
      <w:r>
        <w:rPr>
          <w:rFonts w:ascii="Times New Roman" w:eastAsia="Times New Roman" w:hAnsi="Times New Roman" w:cs="Times New Roman"/>
        </w:rPr>
        <w:t>budowie przydomowej oczyszczalni ścieków,</w:t>
      </w:r>
    </w:p>
    <w:p w14:paraId="0A524ABB" w14:textId="77777777" w:rsidR="00227047" w:rsidRDefault="00227047" w:rsidP="00227047">
      <w:pPr>
        <w:pStyle w:val="Standard"/>
        <w:numPr>
          <w:ilvl w:val="0"/>
          <w:numId w:val="2"/>
        </w:numPr>
        <w:spacing w:after="109" w:line="240" w:lineRule="auto"/>
        <w:ind w:hanging="227"/>
        <w:jc w:val="both"/>
        <w:rPr>
          <w:rFonts w:ascii="Times New Roman" w:eastAsia="Times New Roman" w:hAnsi="Times New Roman" w:cs="Times New Roman"/>
        </w:rPr>
      </w:pPr>
      <w:r>
        <w:rPr>
          <w:rFonts w:ascii="Times New Roman" w:eastAsia="Times New Roman" w:hAnsi="Times New Roman" w:cs="Times New Roman"/>
        </w:rPr>
        <w:t>likwidacji funkcji zbiornika bezodpływowego na nieczystości ciekłe poprzez budowę przydomowej oczyszczalni ścieków.</w:t>
      </w:r>
    </w:p>
    <w:p w14:paraId="1209B14B"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5. </w:t>
      </w:r>
      <w:r>
        <w:rPr>
          <w:rFonts w:ascii="Times New Roman" w:eastAsia="Times New Roman" w:hAnsi="Times New Roman" w:cs="Times New Roman"/>
        </w:rPr>
        <w:t>Warunkiem uzyskania dotacji jest złożenie właściwego oraz kompletnego wniosku wraz z wymaganymi załącznikami oraz zawarcie z Gminą Góra Kalwaria umowy i jej realizacja na zasadach określonych w umowie i w regulaminach stanowiących załączniki do niniejszej uchwały.</w:t>
      </w:r>
    </w:p>
    <w:p w14:paraId="18E3370E"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6. </w:t>
      </w:r>
      <w:r>
        <w:rPr>
          <w:rFonts w:ascii="Times New Roman" w:eastAsia="Times New Roman" w:hAnsi="Times New Roman" w:cs="Times New Roman"/>
        </w:rPr>
        <w:t>Wnioski o udzielenie dotacji na realizację przedsięwzięć, o których mowa w § 4</w:t>
      </w:r>
      <w:r>
        <w:rPr>
          <w:rFonts w:ascii="Times New Roman" w:eastAsia="Times New Roman" w:hAnsi="Times New Roman" w:cs="Times New Roman"/>
          <w:b/>
        </w:rPr>
        <w:t>,</w:t>
      </w:r>
      <w:r>
        <w:rPr>
          <w:rFonts w:ascii="Times New Roman" w:eastAsia="Times New Roman" w:hAnsi="Times New Roman" w:cs="Times New Roman"/>
        </w:rPr>
        <w:t xml:space="preserve"> wraz z wymaganymi załącznikami przyjmowane są w ogłaszanych naborach w ciągu roku.  </w:t>
      </w:r>
    </w:p>
    <w:p w14:paraId="5FC3DF63"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7. </w:t>
      </w:r>
      <w:r>
        <w:rPr>
          <w:rFonts w:ascii="Times New Roman" w:eastAsia="Times New Roman" w:hAnsi="Times New Roman" w:cs="Times New Roman"/>
        </w:rPr>
        <w:t>Wnioski, które wpłyną do Urzędu Gminy Góra Kalwaria w innych terminach niż wyznaczone w § 6 zwraca się Wnioskującemu z informacją o przyczynie zwrotu.</w:t>
      </w:r>
    </w:p>
    <w:p w14:paraId="785DC7DB"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8. </w:t>
      </w:r>
      <w:r>
        <w:rPr>
          <w:rFonts w:ascii="Times New Roman" w:eastAsia="Times New Roman" w:hAnsi="Times New Roman" w:cs="Times New Roman"/>
        </w:rPr>
        <w:t>Za datę złożenia wniosku o udzielenie dotacji uznaje się datę wpływu wniosku do Urzędu Gminy Góra Kalwaria.</w:t>
      </w:r>
    </w:p>
    <w:p w14:paraId="40C9162B" w14:textId="77777777" w:rsidR="00227047" w:rsidRDefault="00227047" w:rsidP="00227047">
      <w:pPr>
        <w:pStyle w:val="Standard"/>
        <w:spacing w:after="109" w:line="240" w:lineRule="auto"/>
        <w:ind w:left="-15" w:firstLine="340"/>
        <w:jc w:val="both"/>
      </w:pPr>
      <w:r>
        <w:rPr>
          <w:rFonts w:ascii="Times New Roman" w:eastAsia="Times New Roman" w:hAnsi="Times New Roman" w:cs="Times New Roman"/>
          <w:b/>
        </w:rPr>
        <w:t xml:space="preserve">§ 9. </w:t>
      </w:r>
      <w:r>
        <w:rPr>
          <w:rFonts w:ascii="Times New Roman" w:eastAsia="Times New Roman" w:hAnsi="Times New Roman" w:cs="Times New Roman"/>
        </w:rPr>
        <w:t>W przypadku współwłasności nieruchomości dopuszcza się złożenie wniosku przez jednego ze współwłaścicieli przy dołączeniu wyrażenia pisemnej zgody każdego ze współwłaścicieli na realizację określonego przedsięwzięcia i otrzymanie dotacji.</w:t>
      </w:r>
    </w:p>
    <w:p w14:paraId="7D6441F7"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10. </w:t>
      </w:r>
      <w:r>
        <w:rPr>
          <w:rFonts w:ascii="Times New Roman" w:eastAsia="Times New Roman" w:hAnsi="Times New Roman" w:cs="Times New Roman"/>
        </w:rPr>
        <w:t xml:space="preserve">Zgoda, o której mowa w § 9 nie jest wymagana w przypadku wniosku złożonego przez wspólnotę mieszkaniową, w której właściciele lokali powierzyli zarząd nieruchomością wspólną zarządowi zgodnie z ustawą z dnia 24 czerwca 1994 r. </w:t>
      </w:r>
      <w:r>
        <w:rPr>
          <w:rFonts w:ascii="Times New Roman" w:eastAsia="Times New Roman" w:hAnsi="Times New Roman" w:cs="Times New Roman"/>
          <w:i/>
        </w:rPr>
        <w:t>o własności lokali</w:t>
      </w:r>
      <w:r>
        <w:rPr>
          <w:rFonts w:ascii="Times New Roman" w:eastAsia="Times New Roman" w:hAnsi="Times New Roman" w:cs="Times New Roman"/>
        </w:rPr>
        <w:t xml:space="preserve"> (Dz. U. z 2021, poz.1048).</w:t>
      </w:r>
    </w:p>
    <w:p w14:paraId="0A43927A"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lastRenderedPageBreak/>
        <w:t xml:space="preserve">§ 11. </w:t>
      </w:r>
      <w:r>
        <w:rPr>
          <w:rFonts w:ascii="Times New Roman" w:eastAsia="Times New Roman" w:hAnsi="Times New Roman" w:cs="Times New Roman"/>
        </w:rPr>
        <w:t>Dotacje przyznawane są do czasu wyczerpania środków zabezpieczonych w planie wydatków budżetu gminy, na dany rok budżetowy.</w:t>
      </w:r>
    </w:p>
    <w:p w14:paraId="5D56FB9B" w14:textId="77777777" w:rsidR="00227047" w:rsidRDefault="00227047" w:rsidP="00227047">
      <w:pPr>
        <w:pStyle w:val="Standard"/>
        <w:spacing w:after="109" w:line="240" w:lineRule="auto"/>
        <w:ind w:left="340"/>
        <w:jc w:val="both"/>
      </w:pPr>
      <w:r>
        <w:rPr>
          <w:rFonts w:ascii="Times New Roman" w:eastAsia="Times New Roman" w:hAnsi="Times New Roman" w:cs="Times New Roman"/>
          <w:b/>
        </w:rPr>
        <w:t xml:space="preserve">§ 12. </w:t>
      </w:r>
      <w:r>
        <w:rPr>
          <w:rFonts w:ascii="Times New Roman" w:eastAsia="Times New Roman" w:hAnsi="Times New Roman" w:cs="Times New Roman"/>
        </w:rPr>
        <w:t>Złożenie wniosku o udzielenie dotacji nie jest równoznaczne z jej przyznaniem.</w:t>
      </w:r>
    </w:p>
    <w:p w14:paraId="6CFF465E"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13. </w:t>
      </w:r>
      <w:r>
        <w:rPr>
          <w:rFonts w:ascii="Times New Roman" w:eastAsia="Times New Roman" w:hAnsi="Times New Roman" w:cs="Times New Roman"/>
        </w:rPr>
        <w:t>Do kosztów kwalifikowanych w przypadku zadania, o którym mowa w § 4 zalicza się wyłącznie poniesione koszty zakupu przydomowej oczyszczalni ścieków.</w:t>
      </w:r>
    </w:p>
    <w:p w14:paraId="183B74EB" w14:textId="77777777" w:rsidR="00227047" w:rsidRDefault="00227047" w:rsidP="00227047">
      <w:pPr>
        <w:pStyle w:val="Standard"/>
        <w:spacing w:after="109" w:line="240" w:lineRule="auto"/>
        <w:ind w:left="340"/>
        <w:jc w:val="both"/>
      </w:pPr>
      <w:r>
        <w:rPr>
          <w:rFonts w:ascii="Times New Roman" w:eastAsia="Times New Roman" w:hAnsi="Times New Roman" w:cs="Times New Roman"/>
          <w:b/>
        </w:rPr>
        <w:t xml:space="preserve">§ 14. </w:t>
      </w:r>
      <w:r>
        <w:rPr>
          <w:rFonts w:ascii="Times New Roman" w:eastAsia="Times New Roman" w:hAnsi="Times New Roman" w:cs="Times New Roman"/>
        </w:rPr>
        <w:t>Dotacja nie obejmuje innych kosztów niż te, które są określone w niniejszym regulaminie.</w:t>
      </w:r>
    </w:p>
    <w:p w14:paraId="3C011D15"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15. </w:t>
      </w:r>
      <w:r>
        <w:rPr>
          <w:rFonts w:ascii="Times New Roman" w:eastAsia="Times New Roman" w:hAnsi="Times New Roman" w:cs="Times New Roman"/>
        </w:rPr>
        <w:t>Dotacja może być łączona z innymi bezzwrotnymi źródłami pomocy, z których Wnioskodawca zamierza skorzystać pod warunkiem, że dotacja z budżetu gminy udzielana będzie na tę część poniesionych kosztów, na które Wnioskodawca nie uzyskał bądź nie uzyska dotacji z innego programu.</w:t>
      </w:r>
    </w:p>
    <w:p w14:paraId="11C593EF"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16. </w:t>
      </w:r>
      <w:r>
        <w:rPr>
          <w:rFonts w:ascii="Times New Roman" w:eastAsia="Times New Roman" w:hAnsi="Times New Roman" w:cs="Times New Roman"/>
        </w:rPr>
        <w:t>Dotacja nie może pokrywać wydatków przeznaczonych na ten sam cel finansowanych lub dofinansowanych z innych bezzwrotnych źródeł, na które Wnioskodawca uzyskał lub planuje uzyskać dofinansowanie.</w:t>
      </w:r>
    </w:p>
    <w:p w14:paraId="63C9017A"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17. </w:t>
      </w:r>
      <w:r>
        <w:rPr>
          <w:rFonts w:ascii="Times New Roman" w:eastAsia="Times New Roman" w:hAnsi="Times New Roman" w:cs="Times New Roman"/>
        </w:rPr>
        <w:t>Szczegółowe zasady udzielania dotacji ze środków budżetu Gminy Góra Kalwaria, określające tryb postępowania w sprawie udzielenia dotacji i sposób jej rozliczania oraz formularze wniosków, określa załącznik nr 1 stanowiący Regulamin określający zasady udzielania dotacji celowych ze środków budżetu Gminy Góra Kalwaria na przedsięwzięcia służące gospodarce wodnej polegające na budowie przydomowej oczyszczalni ścieków lub likwidacji funkcji zbiornika bezodpływowego na nieczystości ciekłe poprzez budowę przydomowej oczyszczalni ścieków na terenie Gminy Góra Kalwaria wraz z załącznikami (wzorami wniosków).</w:t>
      </w:r>
    </w:p>
    <w:p w14:paraId="314A945E"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18. </w:t>
      </w:r>
      <w:r>
        <w:rPr>
          <w:rFonts w:ascii="Times New Roman" w:eastAsia="Times New Roman" w:hAnsi="Times New Roman" w:cs="Times New Roman"/>
        </w:rPr>
        <w:t xml:space="preserve">W zakresie, w jakim niniejsza uchwała przewiduje udzielenie dotacji podmiotom prowadzącym działalność gospodarczą będzie ona stanowić, w zależności od rodzaju prowadzonej działalności: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rozumieniu rozporządzenia Komisji (UE) 2013 r. w sprawie nr 1407/2013 z dnia 18 grudnia stosowania art. 107 i 108 Traktatu o funkcjonowaniu Unii Europejskiej do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(Dz. Urz. UE L 352 z 24.12.2013 r., dalej rozporządzenie 1407/2013), zmienionego Rozporządzeniem Komisji (UE) 2020/972 z dnia 02.07.2020r.,a zasady dofinansowania określone w niniejszym rozporządzeniu obowiązują do 31 grudnia 2023 r., lub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rolnictwie w rozumieniu rozporządzenia Komisji (UE) nr 1408/2013 z dnia 18 grudnia 2013 </w:t>
      </w:r>
      <w:proofErr w:type="spellStart"/>
      <w:r>
        <w:rPr>
          <w:rFonts w:ascii="Times New Roman" w:eastAsia="Times New Roman" w:hAnsi="Times New Roman" w:cs="Times New Roman"/>
        </w:rPr>
        <w:t>r.w</w:t>
      </w:r>
      <w:proofErr w:type="spellEnd"/>
      <w:r>
        <w:rPr>
          <w:rFonts w:ascii="Times New Roman" w:eastAsia="Times New Roman" w:hAnsi="Times New Roman" w:cs="Times New Roman"/>
        </w:rPr>
        <w:t xml:space="preserve"> sprawie stosowania art. 107 i 108 Traktatu o funkcjonowaniu Unii Europejskiej do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sektorze rolnym (Dz. Urz. UE L 352 z 24.12.2013r. s. 9,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xml:space="preserve">. zm., dalej rozporządzenie 1408/2013) albo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rybołówstwie i akwakulturze w rozumieniu rozporządzenia Komisji (UE) nr 717/2014 z dnia 27 czerwca 2014 r. w sprawie stosowania art. 107 i 108 Traktatu o funkcjonowaniu Unii Europejskiej do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sektorze rybołówstwa i akwakultury (Dz. Urz. UE L 190 z 28.06.2014, s. 45,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dalej: rozporządzenie 717/2014).</w:t>
      </w:r>
    </w:p>
    <w:p w14:paraId="152A94F8" w14:textId="77777777" w:rsidR="00227047" w:rsidRDefault="00227047" w:rsidP="00227047">
      <w:pPr>
        <w:pStyle w:val="Standard"/>
        <w:spacing w:after="109" w:line="240" w:lineRule="auto"/>
        <w:ind w:left="340"/>
        <w:jc w:val="both"/>
      </w:pPr>
      <w:r>
        <w:rPr>
          <w:rFonts w:ascii="Times New Roman" w:eastAsia="Times New Roman" w:hAnsi="Times New Roman" w:cs="Times New Roman"/>
          <w:b/>
        </w:rPr>
        <w:t xml:space="preserve">§ 19. </w:t>
      </w:r>
      <w:r>
        <w:rPr>
          <w:rFonts w:ascii="Times New Roman" w:eastAsia="Times New Roman" w:hAnsi="Times New Roman" w:cs="Times New Roman"/>
        </w:rPr>
        <w:t>Wykonanie uchwały powierza się Burmistrzowi Miasta i Gminy Góra Kalwaria.</w:t>
      </w:r>
    </w:p>
    <w:p w14:paraId="1DA1B820" w14:textId="77777777" w:rsidR="00227047" w:rsidRDefault="00227047" w:rsidP="00227047">
      <w:pPr>
        <w:pStyle w:val="Standard"/>
        <w:spacing w:after="109" w:line="240" w:lineRule="auto"/>
        <w:ind w:left="-15" w:firstLine="330"/>
        <w:jc w:val="both"/>
      </w:pPr>
      <w:r>
        <w:rPr>
          <w:rFonts w:ascii="Times New Roman" w:eastAsia="Times New Roman" w:hAnsi="Times New Roman" w:cs="Times New Roman"/>
          <w:b/>
        </w:rPr>
        <w:t xml:space="preserve">§ 20. </w:t>
      </w:r>
      <w:r>
        <w:rPr>
          <w:rFonts w:ascii="Times New Roman" w:eastAsia="Times New Roman" w:hAnsi="Times New Roman" w:cs="Times New Roman"/>
        </w:rPr>
        <w:t>Uchwała wchodzi w życie po upływie 14 dni od daty publikacji w Dzienniku Urzędowym Województwa Mazowieckiego.</w:t>
      </w:r>
    </w:p>
    <w:p w14:paraId="602168C8" w14:textId="77777777" w:rsidR="00227047" w:rsidRDefault="00227047" w:rsidP="00227047">
      <w:pPr>
        <w:pStyle w:val="Standard"/>
        <w:spacing w:after="133"/>
        <w:ind w:left="340"/>
        <w:rPr>
          <w:rFonts w:ascii="Times New Roman" w:eastAsia="Times New Roman" w:hAnsi="Times New Roman" w:cs="Times New Roman"/>
        </w:rPr>
      </w:pPr>
      <w:r>
        <w:rPr>
          <w:rFonts w:ascii="Times New Roman" w:eastAsia="Times New Roman" w:hAnsi="Times New Roman" w:cs="Times New Roman"/>
        </w:rPr>
        <w:t xml:space="preserve"> </w:t>
      </w:r>
    </w:p>
    <w:p w14:paraId="7CBDB398" w14:textId="77777777" w:rsidR="00227047" w:rsidRDefault="00227047" w:rsidP="00227047">
      <w:pPr>
        <w:pStyle w:val="Standard"/>
        <w:spacing w:after="560"/>
        <w:rPr>
          <w:rFonts w:ascii="Times New Roman" w:eastAsia="Times New Roman" w:hAnsi="Times New Roman" w:cs="Times New Roman"/>
        </w:rPr>
      </w:pPr>
      <w:r>
        <w:rPr>
          <w:rFonts w:ascii="Times New Roman" w:eastAsia="Times New Roman" w:hAnsi="Times New Roman" w:cs="Times New Roman"/>
        </w:rPr>
        <w:t xml:space="preserve">   </w:t>
      </w:r>
    </w:p>
    <w:p w14:paraId="149FC07D" w14:textId="77777777" w:rsidR="00227047" w:rsidRDefault="00227047" w:rsidP="00227047">
      <w:pPr>
        <w:pStyle w:val="Standard"/>
        <w:spacing w:after="10" w:line="240" w:lineRule="auto"/>
        <w:ind w:left="6692" w:hanging="10"/>
        <w:jc w:val="both"/>
      </w:pPr>
      <w:r>
        <w:rPr>
          <w:rFonts w:ascii="Times New Roman" w:eastAsia="Times New Roman" w:hAnsi="Times New Roman" w:cs="Times New Roman"/>
        </w:rPr>
        <w:t>Przewodnicząca</w:t>
      </w:r>
    </w:p>
    <w:p w14:paraId="4FA82F09" w14:textId="77777777" w:rsidR="00227047" w:rsidRDefault="00227047" w:rsidP="00227047">
      <w:pPr>
        <w:pStyle w:val="Standard"/>
        <w:spacing w:after="10"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Rady Miejskiej Góry Kalwarii</w:t>
      </w:r>
    </w:p>
    <w:p w14:paraId="02214BE2" w14:textId="259AD366" w:rsidR="00227047" w:rsidRDefault="00227047" w:rsidP="00227047">
      <w:pPr>
        <w:pStyle w:val="Nagwek1"/>
        <w:ind w:left="0" w:firstLine="0"/>
        <w:jc w:val="left"/>
        <w:sectPr w:rsidR="00227047">
          <w:headerReference w:type="default" r:id="rId5"/>
          <w:footerReference w:type="default" r:id="rId6"/>
          <w:pgSz w:w="11906" w:h="16838"/>
          <w:pgMar w:top="903" w:right="850" w:bottom="1657" w:left="850" w:header="708" w:footer="402" w:gutter="0"/>
          <w:cols w:space="708"/>
        </w:sect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 xml:space="preserve">Aleksandra </w:t>
      </w:r>
      <w:proofErr w:type="spellStart"/>
      <w:r>
        <w:rPr>
          <w:rFonts w:ascii="Times New Roman" w:eastAsia="Times New Roman" w:hAnsi="Times New Roman" w:cs="Times New Roman"/>
          <w:b w:val="0"/>
        </w:rPr>
        <w:t>Fedynicz</w:t>
      </w:r>
      <w:proofErr w:type="spellEnd"/>
      <w:r>
        <w:rPr>
          <w:rFonts w:ascii="Times New Roman" w:eastAsia="Times New Roman" w:hAnsi="Times New Roman" w:cs="Times New Roman"/>
          <w:b w:val="0"/>
        </w:rPr>
        <w:t xml:space="preserve"> </w:t>
      </w:r>
      <w:proofErr w:type="spellStart"/>
      <w:r>
        <w:rPr>
          <w:rFonts w:ascii="Times New Roman" w:eastAsia="Times New Roman" w:hAnsi="Times New Roman" w:cs="Times New Roman"/>
          <w:b w:val="0"/>
        </w:rPr>
        <w:t>Kom</w:t>
      </w:r>
      <w:r w:rsidR="007C37C7">
        <w:rPr>
          <w:rFonts w:ascii="Times New Roman" w:eastAsia="Times New Roman" w:hAnsi="Times New Roman" w:cs="Times New Roman"/>
          <w:b w:val="0"/>
        </w:rPr>
        <w:t>sa</w:t>
      </w:r>
      <w:proofErr w:type="spellEnd"/>
    </w:p>
    <w:p w14:paraId="0E109B67" w14:textId="77777777" w:rsidR="0030125C" w:rsidRDefault="007C37C7" w:rsidP="007C37C7"/>
    <w:sectPr w:rsidR="00301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7AFF" w14:textId="77777777" w:rsidR="0059394F" w:rsidRDefault="007C37C7">
    <w:pPr>
      <w:pStyle w:val="Standard"/>
      <w:tabs>
        <w:tab w:val="right" w:pos="10206"/>
      </w:tabs>
      <w:spacing w:after="0"/>
      <w:rPr>
        <w:rFonts w:ascii="Times New Roman" w:eastAsia="Times New Roman" w:hAnsi="Times New Roman" w:cs="Times New Roman"/>
        <w:sz w:val="18"/>
      </w:rPr>
    </w:pPr>
    <w:r>
      <w:rPr>
        <w:rFonts w:ascii="Times New Roman" w:eastAsia="Times New Roman" w:hAnsi="Times New Roman" w:cs="Times New Roman"/>
        <w:sz w:val="18"/>
      </w:rPr>
      <w:tab/>
    </w:r>
  </w:p>
  <w:p w14:paraId="4A2D44F4" w14:textId="77777777" w:rsidR="0059394F" w:rsidRDefault="007C37C7">
    <w:pPr>
      <w:pStyle w:val="Standard"/>
      <w:tabs>
        <w:tab w:val="right" w:pos="10206"/>
      </w:tabs>
      <w:spacing w:after="0"/>
      <w:rPr>
        <w:rFonts w:ascii="Times New Roman" w:eastAsia="Times New Roman" w:hAnsi="Times New Roman" w:cs="Times New Roman"/>
        <w:sz w:val="18"/>
      </w:rPr>
    </w:pPr>
  </w:p>
  <w:p w14:paraId="45BB26F2" w14:textId="77777777" w:rsidR="0059394F" w:rsidRDefault="007C37C7">
    <w:pPr>
      <w:pStyle w:val="Standard"/>
      <w:tabs>
        <w:tab w:val="right" w:pos="10206"/>
      </w:tabs>
      <w:spacing w:after="0"/>
      <w:rPr>
        <w:rFonts w:ascii="Times New Roman" w:eastAsia="Times New Roman" w:hAnsi="Times New Roman" w:cs="Times New Roman"/>
        <w:sz w:val="18"/>
      </w:rPr>
    </w:pPr>
  </w:p>
  <w:p w14:paraId="37D1F7BE" w14:textId="77777777" w:rsidR="0059394F" w:rsidRDefault="007C37C7">
    <w:pPr>
      <w:pStyle w:val="Standard"/>
      <w:tabs>
        <w:tab w:val="right" w:pos="10206"/>
      </w:tabs>
      <w:spacing w:after="0"/>
      <w:rPr>
        <w:rFonts w:ascii="Times New Roman" w:eastAsia="Times New Roman" w:hAnsi="Times New Roman" w:cs="Times New Roman"/>
        <w:sz w:val="18"/>
      </w:rPr>
    </w:pPr>
  </w:p>
  <w:p w14:paraId="0D1A0819" w14:textId="77777777" w:rsidR="0059394F" w:rsidRDefault="007C37C7">
    <w:pPr>
      <w:pStyle w:val="Standard"/>
      <w:tabs>
        <w:tab w:val="right" w:pos="10206"/>
      </w:tabs>
      <w:spacing w:after="0"/>
      <w:rPr>
        <w:rFonts w:ascii="Times New Roman" w:eastAsia="Times New Roman" w:hAnsi="Times New Roman" w:cs="Times New Roman"/>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7E3" w14:textId="77777777" w:rsidR="0059394F" w:rsidRDefault="007C37C7">
    <w:pPr>
      <w:pStyle w:val="Nagwek"/>
    </w:pPr>
  </w:p>
  <w:p w14:paraId="18C91E72" w14:textId="77777777" w:rsidR="0059394F" w:rsidRDefault="007C37C7">
    <w:pPr>
      <w:pStyle w:val="Nagwek"/>
    </w:pPr>
  </w:p>
  <w:p w14:paraId="76A1B0C3" w14:textId="77777777" w:rsidR="0059394F" w:rsidRDefault="007C37C7">
    <w:pPr>
      <w:pStyle w:val="Nagwek"/>
    </w:pPr>
  </w:p>
  <w:p w14:paraId="34070F45" w14:textId="77777777" w:rsidR="0059394F" w:rsidRDefault="007C37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24B"/>
    <w:multiLevelType w:val="multilevel"/>
    <w:tmpl w:val="DAFA3FA2"/>
    <w:styleLink w:val="WWNum2"/>
    <w:lvl w:ilvl="0">
      <w:start w:val="1"/>
      <w:numFmt w:val="decimal"/>
      <w:lvlText w:val="%1)"/>
      <w:lvlJc w:val="left"/>
      <w:pPr>
        <w:ind w:left="340" w:firstLine="0"/>
      </w:pPr>
      <w:rPr>
        <w:rFonts w:eastAsia="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93" w:firstLine="0"/>
      </w:pPr>
      <w:rPr>
        <w:rFonts w:eastAsia="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13" w:firstLine="0"/>
      </w:pPr>
      <w:rPr>
        <w:rFonts w:eastAsia="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33" w:firstLine="0"/>
      </w:pPr>
      <w:rPr>
        <w:rFonts w:eastAsia="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53" w:firstLine="0"/>
      </w:pPr>
      <w:rPr>
        <w:rFonts w:eastAsia="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73" w:firstLine="0"/>
      </w:pPr>
      <w:rPr>
        <w:rFonts w:eastAsia="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93" w:firstLine="0"/>
      </w:pPr>
      <w:rPr>
        <w:rFonts w:eastAsia="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13" w:firstLine="0"/>
      </w:pPr>
      <w:rPr>
        <w:rFonts w:eastAsia="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33" w:firstLine="0"/>
      </w:pPr>
      <w:rPr>
        <w:rFonts w:eastAsia="Times New Roman" w:cs="Times New Roman"/>
        <w:b w:val="0"/>
        <w:i w:val="0"/>
        <w:strike w:val="0"/>
        <w:dstrike w:val="0"/>
        <w:color w:val="000000"/>
        <w:position w:val="0"/>
        <w:sz w:val="22"/>
        <w:szCs w:val="22"/>
        <w:u w:val="none"/>
        <w:shd w:val="clear" w:color="auto" w:fill="auto"/>
        <w:vertAlign w:val="baseline"/>
      </w:rPr>
    </w:lvl>
  </w:abstractNum>
  <w:abstractNum w:abstractNumId="1" w15:restartNumberingAfterBreak="0">
    <w:nsid w:val="38F24D18"/>
    <w:multiLevelType w:val="multilevel"/>
    <w:tmpl w:val="AA24D306"/>
    <w:styleLink w:val="WWNum1"/>
    <w:lvl w:ilvl="0">
      <w:start w:val="1"/>
      <w:numFmt w:val="decimal"/>
      <w:lvlText w:val="%1)"/>
      <w:lvlJc w:val="left"/>
      <w:pPr>
        <w:ind w:left="340" w:firstLine="0"/>
      </w:pPr>
      <w:rPr>
        <w:rFonts w:eastAsia="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578" w:firstLine="0"/>
      </w:pPr>
      <w:rPr>
        <w:rFonts w:eastAsia="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420" w:firstLine="0"/>
      </w:pPr>
      <w:rPr>
        <w:rFonts w:eastAsia="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140" w:firstLine="0"/>
      </w:pPr>
      <w:rPr>
        <w:rFonts w:eastAsia="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860" w:firstLine="0"/>
      </w:pPr>
      <w:rPr>
        <w:rFonts w:eastAsia="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580" w:firstLine="0"/>
      </w:pPr>
      <w:rPr>
        <w:rFonts w:eastAsia="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300" w:firstLine="0"/>
      </w:pPr>
      <w:rPr>
        <w:rFonts w:eastAsia="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020" w:firstLine="0"/>
      </w:pPr>
      <w:rPr>
        <w:rFonts w:eastAsia="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740" w:firstLine="0"/>
      </w:pPr>
      <w:rPr>
        <w:rFonts w:eastAsia="Times New Roman" w:cs="Times New Roman"/>
        <w:b w:val="0"/>
        <w:i w:val="0"/>
        <w:strike w:val="0"/>
        <w:dstrike w:val="0"/>
        <w:color w:val="000000"/>
        <w:position w:val="0"/>
        <w:sz w:val="22"/>
        <w:szCs w:val="22"/>
        <w:u w:val="none"/>
        <w:shd w:val="clear" w:color="auto" w:fill="auto"/>
        <w:vertAlign w:val="baseline"/>
      </w:rPr>
    </w:lvl>
  </w:abstractNum>
  <w:num w:numId="1" w16cid:durableId="1496989110">
    <w:abstractNumId w:val="1"/>
  </w:num>
  <w:num w:numId="2" w16cid:durableId="837575452">
    <w:abstractNumId w:val="0"/>
  </w:num>
  <w:num w:numId="3" w16cid:durableId="1271665500">
    <w:abstractNumId w:val="1"/>
    <w:lvlOverride w:ilvl="0">
      <w:startOverride w:val="1"/>
    </w:lvlOverride>
  </w:num>
  <w:num w:numId="4" w16cid:durableId="18656291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47"/>
    <w:rsid w:val="00227047"/>
    <w:rsid w:val="004A7440"/>
    <w:rsid w:val="007C37C7"/>
    <w:rsid w:val="00D00B1C"/>
    <w:rsid w:val="00EC3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6BFD"/>
  <w15:chartTrackingRefBased/>
  <w15:docId w15:val="{292E3770-6E93-4E4B-B1F3-5E575215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047"/>
    <w:pPr>
      <w:widowControl w:val="0"/>
      <w:suppressAutoHyphens/>
      <w:autoSpaceDN w:val="0"/>
      <w:spacing w:after="0" w:line="240" w:lineRule="auto"/>
      <w:textAlignment w:val="baseline"/>
    </w:pPr>
    <w:rPr>
      <w:rFonts w:ascii="Calibri" w:eastAsia="Segoe UI" w:hAnsi="Calibri" w:cs="Tahoma"/>
      <w:lang w:eastAsia="pl-PL"/>
    </w:rPr>
  </w:style>
  <w:style w:type="paragraph" w:styleId="Nagwek1">
    <w:name w:val="heading 1"/>
    <w:next w:val="Standard"/>
    <w:link w:val="Nagwek1Znak"/>
    <w:uiPriority w:val="9"/>
    <w:qFormat/>
    <w:rsid w:val="00227047"/>
    <w:pPr>
      <w:keepNext/>
      <w:keepLines/>
      <w:suppressAutoHyphens/>
      <w:autoSpaceDN w:val="0"/>
      <w:spacing w:after="0" w:line="249" w:lineRule="auto"/>
      <w:ind w:left="10" w:hanging="10"/>
      <w:jc w:val="center"/>
      <w:textAlignment w:val="baseline"/>
      <w:outlineLvl w:val="0"/>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7047"/>
    <w:rPr>
      <w:rFonts w:ascii="Arial" w:eastAsia="Arial" w:hAnsi="Arial" w:cs="Arial"/>
      <w:b/>
      <w:color w:val="000000"/>
      <w:lang w:eastAsia="pl-PL"/>
    </w:rPr>
  </w:style>
  <w:style w:type="paragraph" w:customStyle="1" w:styleId="Standard">
    <w:name w:val="Standard"/>
    <w:rsid w:val="00227047"/>
    <w:pPr>
      <w:suppressAutoHyphens/>
      <w:autoSpaceDN w:val="0"/>
      <w:spacing w:line="249" w:lineRule="auto"/>
      <w:textAlignment w:val="baseline"/>
    </w:pPr>
    <w:rPr>
      <w:rFonts w:ascii="Calibri" w:eastAsia="Calibri" w:hAnsi="Calibri" w:cs="Calibri"/>
      <w:color w:val="000000"/>
      <w:lang w:eastAsia="pl-PL"/>
    </w:rPr>
  </w:style>
  <w:style w:type="paragraph" w:styleId="Nagwek">
    <w:name w:val="header"/>
    <w:basedOn w:val="Normalny"/>
    <w:link w:val="NagwekZnak"/>
    <w:rsid w:val="00227047"/>
    <w:pPr>
      <w:tabs>
        <w:tab w:val="center" w:pos="4536"/>
        <w:tab w:val="right" w:pos="9072"/>
      </w:tabs>
    </w:pPr>
  </w:style>
  <w:style w:type="character" w:customStyle="1" w:styleId="NagwekZnak">
    <w:name w:val="Nagłówek Znak"/>
    <w:basedOn w:val="Domylnaczcionkaakapitu"/>
    <w:link w:val="Nagwek"/>
    <w:rsid w:val="00227047"/>
    <w:rPr>
      <w:rFonts w:ascii="Calibri" w:eastAsia="Segoe UI" w:hAnsi="Calibri" w:cs="Tahoma"/>
      <w:lang w:eastAsia="pl-PL"/>
    </w:rPr>
  </w:style>
  <w:style w:type="numbering" w:customStyle="1" w:styleId="WWNum1">
    <w:name w:val="WWNum1"/>
    <w:basedOn w:val="Bezlisty"/>
    <w:rsid w:val="00227047"/>
    <w:pPr>
      <w:numPr>
        <w:numId w:val="1"/>
      </w:numPr>
    </w:pPr>
  </w:style>
  <w:style w:type="numbering" w:customStyle="1" w:styleId="WWNum2">
    <w:name w:val="WWNum2"/>
    <w:basedOn w:val="Bezlisty"/>
    <w:rsid w:val="0022704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856</Words>
  <Characters>5137</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Fryderyk Błeszyński</dc:creator>
  <cp:keywords/>
  <dc:description/>
  <cp:lastModifiedBy>Fryderyk Błeszyński</cp:lastModifiedBy>
  <cp:revision>3</cp:revision>
  <dcterms:created xsi:type="dcterms:W3CDTF">2022-04-07T12:56:00Z</dcterms:created>
  <dcterms:modified xsi:type="dcterms:W3CDTF">2022-04-07T13:00:00Z</dcterms:modified>
</cp:coreProperties>
</file>