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0.xml" ContentType="application/vnd.openxmlformats-officedocument.drawingml.chart+xml"/>
  <Override PartName="/word/theme/themeOverride10.xml" ContentType="application/vnd.openxmlformats-officedocument.themeOverride+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5DE07" w14:textId="77777777" w:rsidR="00020C89" w:rsidRPr="00213798" w:rsidRDefault="00020C89" w:rsidP="00433030">
      <w:pPr>
        <w:rPr>
          <w:rFonts w:ascii="Times New Roman" w:hAnsi="Times New Roman" w:cs="Times New Roman"/>
          <w:sz w:val="28"/>
          <w:szCs w:val="28"/>
        </w:rPr>
      </w:pPr>
    </w:p>
    <w:p w14:paraId="585F5F57" w14:textId="77777777" w:rsidR="00020C89" w:rsidRPr="00213798" w:rsidRDefault="00020C89" w:rsidP="00433030">
      <w:pPr>
        <w:rPr>
          <w:rFonts w:ascii="Times New Roman" w:hAnsi="Times New Roman" w:cs="Times New Roman"/>
          <w:sz w:val="28"/>
          <w:szCs w:val="28"/>
        </w:rPr>
      </w:pPr>
    </w:p>
    <w:p w14:paraId="1C05DBEB" w14:textId="77777777" w:rsidR="00020C89" w:rsidRPr="00213798" w:rsidRDefault="00020C89" w:rsidP="00433030">
      <w:pPr>
        <w:rPr>
          <w:rFonts w:ascii="Times New Roman" w:hAnsi="Times New Roman" w:cs="Times New Roman"/>
          <w:sz w:val="28"/>
          <w:szCs w:val="28"/>
        </w:rPr>
      </w:pPr>
    </w:p>
    <w:p w14:paraId="2CEEC53F" w14:textId="77777777" w:rsidR="009D370E" w:rsidRPr="00213798" w:rsidRDefault="009D370E" w:rsidP="00433030">
      <w:pPr>
        <w:rPr>
          <w:rFonts w:ascii="Times New Roman" w:hAnsi="Times New Roman" w:cs="Times New Roman"/>
          <w:sz w:val="28"/>
          <w:szCs w:val="28"/>
        </w:rPr>
      </w:pPr>
    </w:p>
    <w:p w14:paraId="47FCB037" w14:textId="77777777" w:rsidR="009D370E" w:rsidRPr="00213798" w:rsidRDefault="009D370E" w:rsidP="009D370E">
      <w:pPr>
        <w:pStyle w:val="Nagwek1"/>
        <w:rPr>
          <w:rFonts w:ascii="Times New Roman" w:hAnsi="Times New Roman" w:cs="Times New Roman"/>
          <w:b/>
          <w:bCs/>
        </w:rPr>
      </w:pPr>
    </w:p>
    <w:p w14:paraId="3CDD0C97" w14:textId="118BBEC0" w:rsidR="009D370E" w:rsidRPr="00785BE2" w:rsidRDefault="009D370E" w:rsidP="009D370E">
      <w:pPr>
        <w:pStyle w:val="Nagwek1"/>
        <w:jc w:val="center"/>
        <w:rPr>
          <w:rFonts w:ascii="Times New Roman" w:hAnsi="Times New Roman" w:cs="Times New Roman"/>
          <w:b/>
          <w:bCs/>
          <w:sz w:val="36"/>
          <w:szCs w:val="36"/>
        </w:rPr>
      </w:pPr>
      <w:r w:rsidRPr="008F6922">
        <w:rPr>
          <w:rFonts w:ascii="Times New Roman" w:hAnsi="Times New Roman" w:cs="Times New Roman"/>
          <w:b/>
          <w:bCs/>
          <w:color w:val="0070C0"/>
          <w:sz w:val="36"/>
          <w:szCs w:val="36"/>
        </w:rPr>
        <w:t xml:space="preserve">Strategia rozwoju </w:t>
      </w:r>
      <w:r w:rsidRPr="00785BE2">
        <w:rPr>
          <w:rFonts w:ascii="Times New Roman" w:hAnsi="Times New Roman" w:cs="Times New Roman"/>
          <w:b/>
          <w:bCs/>
          <w:sz w:val="36"/>
          <w:szCs w:val="36"/>
        </w:rPr>
        <w:br/>
      </w:r>
      <w:r w:rsidRPr="008F6922">
        <w:rPr>
          <w:rFonts w:ascii="Times New Roman" w:hAnsi="Times New Roman" w:cs="Times New Roman"/>
          <w:b/>
          <w:bCs/>
          <w:color w:val="0070C0"/>
          <w:sz w:val="36"/>
          <w:szCs w:val="36"/>
        </w:rPr>
        <w:t>Miasta i Gminy Góra Kalwaria do 2030 roku</w:t>
      </w:r>
    </w:p>
    <w:p w14:paraId="39217EA1" w14:textId="77777777" w:rsidR="009D370E" w:rsidRPr="00213798" w:rsidRDefault="009D370E" w:rsidP="009D370E">
      <w:pPr>
        <w:rPr>
          <w:rFonts w:ascii="Times New Roman" w:hAnsi="Times New Roman" w:cs="Times New Roman"/>
        </w:rPr>
      </w:pPr>
    </w:p>
    <w:p w14:paraId="294F4AD2" w14:textId="77777777" w:rsidR="009D370E" w:rsidRPr="00213798" w:rsidRDefault="009D370E" w:rsidP="00433030">
      <w:pPr>
        <w:rPr>
          <w:rFonts w:ascii="Times New Roman" w:hAnsi="Times New Roman" w:cs="Times New Roman"/>
          <w:sz w:val="28"/>
          <w:szCs w:val="28"/>
        </w:rPr>
      </w:pPr>
    </w:p>
    <w:p w14:paraId="7FFF109E" w14:textId="77777777" w:rsidR="009D370E" w:rsidRPr="00213798" w:rsidRDefault="009D370E" w:rsidP="00433030">
      <w:pPr>
        <w:rPr>
          <w:rFonts w:ascii="Times New Roman" w:hAnsi="Times New Roman" w:cs="Times New Roman"/>
          <w:sz w:val="28"/>
          <w:szCs w:val="28"/>
        </w:rPr>
      </w:pPr>
    </w:p>
    <w:p w14:paraId="6F2D848B" w14:textId="77777777" w:rsidR="009D370E" w:rsidRPr="00213798" w:rsidRDefault="009D370E" w:rsidP="009D370E">
      <w:pPr>
        <w:jc w:val="center"/>
        <w:rPr>
          <w:rFonts w:ascii="Times New Roman" w:hAnsi="Times New Roman" w:cs="Times New Roman"/>
          <w:sz w:val="28"/>
          <w:szCs w:val="28"/>
        </w:rPr>
      </w:pPr>
      <w:r w:rsidRPr="00213798">
        <w:rPr>
          <w:rFonts w:ascii="Times New Roman" w:hAnsi="Times New Roman" w:cs="Times New Roman"/>
          <w:noProof/>
          <w:sz w:val="28"/>
          <w:szCs w:val="28"/>
        </w:rPr>
        <w:drawing>
          <wp:inline distT="0" distB="0" distL="0" distR="0" wp14:anchorId="229F8905" wp14:editId="611077AF">
            <wp:extent cx="2060519" cy="3036124"/>
            <wp:effectExtent l="0" t="0" r="0" b="0"/>
            <wp:docPr id="5" name="Obraz 4">
              <a:extLst xmlns:a="http://schemas.openxmlformats.org/drawingml/2006/main">
                <a:ext uri="{FF2B5EF4-FFF2-40B4-BE49-F238E27FC236}">
                  <a16:creationId xmlns:a16="http://schemas.microsoft.com/office/drawing/2014/main" id="{03EBDC34-C4B1-47ED-AACA-0F93418350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03EBDC34-C4B1-47ED-AACA-0F93418350BE}"/>
                        </a:ext>
                      </a:extLst>
                    </pic:cNvPr>
                    <pic:cNvPicPr>
                      <a:picLocks noChangeAspect="1"/>
                    </pic:cNvPicPr>
                  </pic:nvPicPr>
                  <pic:blipFill rotWithShape="1">
                    <a:blip r:embed="rId8"/>
                    <a:srcRect l="8914" r="9072"/>
                    <a:stretch/>
                  </pic:blipFill>
                  <pic:spPr>
                    <a:xfrm flipH="1">
                      <a:off x="0" y="0"/>
                      <a:ext cx="2067723" cy="3046739"/>
                    </a:xfrm>
                    <a:prstGeom prst="rect">
                      <a:avLst/>
                    </a:prstGeom>
                  </pic:spPr>
                </pic:pic>
              </a:graphicData>
            </a:graphic>
          </wp:inline>
        </w:drawing>
      </w:r>
    </w:p>
    <w:p w14:paraId="5B8ABEAD" w14:textId="77777777" w:rsidR="009D370E" w:rsidRPr="00213798" w:rsidRDefault="009D370E" w:rsidP="009D370E">
      <w:pPr>
        <w:jc w:val="center"/>
        <w:rPr>
          <w:rFonts w:ascii="Times New Roman" w:hAnsi="Times New Roman" w:cs="Times New Roman"/>
          <w:sz w:val="28"/>
          <w:szCs w:val="28"/>
        </w:rPr>
      </w:pPr>
    </w:p>
    <w:p w14:paraId="496072E9" w14:textId="77777777" w:rsidR="009D370E" w:rsidRPr="00213798" w:rsidRDefault="009D370E" w:rsidP="009D370E">
      <w:pPr>
        <w:jc w:val="center"/>
        <w:rPr>
          <w:rFonts w:ascii="Times New Roman" w:hAnsi="Times New Roman" w:cs="Times New Roman"/>
          <w:sz w:val="28"/>
          <w:szCs w:val="28"/>
        </w:rPr>
      </w:pPr>
    </w:p>
    <w:p w14:paraId="73B9C298" w14:textId="77777777" w:rsidR="009D370E" w:rsidRPr="00213798" w:rsidRDefault="009D370E" w:rsidP="009D370E">
      <w:pPr>
        <w:jc w:val="center"/>
        <w:rPr>
          <w:rFonts w:ascii="Times New Roman" w:hAnsi="Times New Roman" w:cs="Times New Roman"/>
          <w:sz w:val="28"/>
          <w:szCs w:val="28"/>
        </w:rPr>
      </w:pPr>
    </w:p>
    <w:p w14:paraId="01A34D0F" w14:textId="77777777" w:rsidR="009D370E" w:rsidRPr="00213798" w:rsidRDefault="009D370E" w:rsidP="009D370E">
      <w:pPr>
        <w:jc w:val="center"/>
        <w:rPr>
          <w:rFonts w:ascii="Times New Roman" w:hAnsi="Times New Roman" w:cs="Times New Roman"/>
          <w:sz w:val="28"/>
          <w:szCs w:val="28"/>
        </w:rPr>
      </w:pPr>
    </w:p>
    <w:p w14:paraId="753E8F8C" w14:textId="77777777" w:rsidR="009D370E" w:rsidRDefault="009D370E" w:rsidP="009D370E">
      <w:pPr>
        <w:jc w:val="center"/>
        <w:rPr>
          <w:rFonts w:ascii="Times New Roman" w:hAnsi="Times New Roman" w:cs="Times New Roman"/>
        </w:rPr>
      </w:pPr>
      <w:r w:rsidRPr="00213798">
        <w:rPr>
          <w:rFonts w:ascii="Times New Roman" w:hAnsi="Times New Roman" w:cs="Times New Roman"/>
        </w:rPr>
        <w:t xml:space="preserve">Góra Kalwaria, listopad 2022 r. </w:t>
      </w:r>
    </w:p>
    <w:p w14:paraId="02255DEB" w14:textId="77777777" w:rsidR="006350A3" w:rsidRDefault="006350A3" w:rsidP="009D370E">
      <w:pPr>
        <w:jc w:val="center"/>
        <w:rPr>
          <w:rFonts w:ascii="Times New Roman" w:hAnsi="Times New Roman" w:cs="Times New Roman"/>
        </w:rPr>
      </w:pPr>
    </w:p>
    <w:p w14:paraId="33E2F213" w14:textId="3C13C268" w:rsidR="00020C89" w:rsidRDefault="00020C89" w:rsidP="00433030">
      <w:pPr>
        <w:rPr>
          <w:rFonts w:ascii="Times New Roman" w:hAnsi="Times New Roman" w:cs="Times New Roman"/>
        </w:rPr>
      </w:pPr>
    </w:p>
    <w:p w14:paraId="5D15DA7C" w14:textId="77777777" w:rsidR="006350A3" w:rsidRPr="00213798" w:rsidRDefault="006350A3" w:rsidP="00433030">
      <w:pPr>
        <w:rPr>
          <w:rFonts w:ascii="Times New Roman" w:hAnsi="Times New Roman" w:cs="Times New Roman"/>
        </w:rPr>
      </w:pPr>
    </w:p>
    <w:p w14:paraId="466B8DAF" w14:textId="77777777" w:rsidR="008F6922" w:rsidRDefault="008F6922" w:rsidP="000608AA">
      <w:pPr>
        <w:rPr>
          <w:rFonts w:ascii="Times New Roman" w:hAnsi="Times New Roman" w:cs="Times New Roman"/>
        </w:rPr>
      </w:pPr>
    </w:p>
    <w:p w14:paraId="2ADC0279" w14:textId="77777777" w:rsidR="008F6922" w:rsidRDefault="008F6922" w:rsidP="000608AA">
      <w:pPr>
        <w:rPr>
          <w:rFonts w:ascii="Times New Roman" w:hAnsi="Times New Roman" w:cs="Times New Roman"/>
        </w:rPr>
      </w:pPr>
    </w:p>
    <w:p w14:paraId="1E9BBF2B" w14:textId="77777777" w:rsidR="008F6922" w:rsidRDefault="008F6922" w:rsidP="000608AA">
      <w:pPr>
        <w:rPr>
          <w:rFonts w:ascii="Times New Roman" w:hAnsi="Times New Roman" w:cs="Times New Roman"/>
        </w:rPr>
      </w:pPr>
    </w:p>
    <w:p w14:paraId="2EDE2BAA" w14:textId="5557A682" w:rsidR="000608AA" w:rsidRPr="00213798" w:rsidRDefault="000608AA" w:rsidP="000608AA">
      <w:pPr>
        <w:rPr>
          <w:rFonts w:ascii="Times New Roman" w:hAnsi="Times New Roman" w:cs="Times New Roman"/>
        </w:rPr>
      </w:pPr>
      <w:r w:rsidRPr="00213798">
        <w:rPr>
          <w:rFonts w:ascii="Times New Roman" w:hAnsi="Times New Roman" w:cs="Times New Roman"/>
        </w:rPr>
        <w:t>Opracowanie dokumentu zespół w składzie:</w:t>
      </w:r>
    </w:p>
    <w:p w14:paraId="144D1DE5" w14:textId="2BAB763D" w:rsidR="000608AA" w:rsidRPr="00213798" w:rsidRDefault="000608AA" w:rsidP="000608AA">
      <w:pPr>
        <w:pStyle w:val="Akapitzlist"/>
        <w:numPr>
          <w:ilvl w:val="0"/>
          <w:numId w:val="1"/>
        </w:numPr>
        <w:rPr>
          <w:rFonts w:ascii="Times New Roman" w:hAnsi="Times New Roman" w:cs="Times New Roman"/>
        </w:rPr>
      </w:pPr>
      <w:r w:rsidRPr="00213798">
        <w:rPr>
          <w:rFonts w:ascii="Times New Roman" w:hAnsi="Times New Roman" w:cs="Times New Roman"/>
        </w:rPr>
        <w:t>dr hab. Andrzej Gałązka</w:t>
      </w:r>
      <w:r w:rsidR="00AC07FA" w:rsidRPr="00213798">
        <w:rPr>
          <w:rFonts w:ascii="Times New Roman" w:hAnsi="Times New Roman" w:cs="Times New Roman"/>
        </w:rPr>
        <w:t>;</w:t>
      </w:r>
    </w:p>
    <w:p w14:paraId="6BE3CD9C" w14:textId="6AB66C81" w:rsidR="00AC07FA" w:rsidRPr="00213798" w:rsidRDefault="00AC07FA" w:rsidP="000608AA">
      <w:pPr>
        <w:pStyle w:val="Akapitzlist"/>
        <w:numPr>
          <w:ilvl w:val="0"/>
          <w:numId w:val="1"/>
        </w:numPr>
        <w:rPr>
          <w:rFonts w:ascii="Times New Roman" w:hAnsi="Times New Roman" w:cs="Times New Roman"/>
        </w:rPr>
      </w:pPr>
      <w:r w:rsidRPr="00213798">
        <w:rPr>
          <w:rFonts w:ascii="Times New Roman" w:hAnsi="Times New Roman" w:cs="Times New Roman"/>
        </w:rPr>
        <w:t xml:space="preserve">dr Paulina Legutko-Kobus; </w:t>
      </w:r>
    </w:p>
    <w:p w14:paraId="5D33F838" w14:textId="62B517E8" w:rsidR="00AC07FA" w:rsidRPr="00213798" w:rsidRDefault="00AC07FA" w:rsidP="000608AA">
      <w:pPr>
        <w:pStyle w:val="Akapitzlist"/>
        <w:numPr>
          <w:ilvl w:val="0"/>
          <w:numId w:val="1"/>
        </w:numPr>
        <w:rPr>
          <w:rFonts w:ascii="Times New Roman" w:hAnsi="Times New Roman" w:cs="Times New Roman"/>
        </w:rPr>
      </w:pPr>
      <w:r w:rsidRPr="00213798">
        <w:rPr>
          <w:rFonts w:ascii="Times New Roman" w:hAnsi="Times New Roman" w:cs="Times New Roman"/>
        </w:rPr>
        <w:t xml:space="preserve">dr hab. Jacek Sierak. </w:t>
      </w:r>
    </w:p>
    <w:p w14:paraId="7A14C7CB" w14:textId="77777777" w:rsidR="000608AA" w:rsidRPr="00213798" w:rsidRDefault="000608AA" w:rsidP="00AC07FA">
      <w:pPr>
        <w:rPr>
          <w:rFonts w:ascii="Times New Roman" w:hAnsi="Times New Roman" w:cs="Times New Roman"/>
        </w:rPr>
      </w:pPr>
    </w:p>
    <w:p w14:paraId="160E9A49" w14:textId="77777777" w:rsidR="00AC07FA" w:rsidRPr="00213798" w:rsidRDefault="00AC07FA" w:rsidP="00AC07FA">
      <w:pPr>
        <w:rPr>
          <w:rFonts w:ascii="Times New Roman" w:hAnsi="Times New Roman" w:cs="Times New Roman"/>
        </w:rPr>
      </w:pPr>
    </w:p>
    <w:p w14:paraId="765A6FD4" w14:textId="77777777" w:rsidR="00AC07FA" w:rsidRPr="00213798" w:rsidRDefault="00AC07FA" w:rsidP="00AF118E">
      <w:pPr>
        <w:jc w:val="both"/>
        <w:rPr>
          <w:rFonts w:ascii="Times New Roman" w:hAnsi="Times New Roman" w:cs="Times New Roman"/>
        </w:rPr>
      </w:pPr>
    </w:p>
    <w:p w14:paraId="3C09565A" w14:textId="125C08A5" w:rsidR="00AC07FA" w:rsidRPr="00213798" w:rsidRDefault="00AC07FA" w:rsidP="00AF118E">
      <w:pPr>
        <w:spacing w:line="276" w:lineRule="auto"/>
        <w:jc w:val="both"/>
        <w:rPr>
          <w:rFonts w:ascii="Times New Roman" w:hAnsi="Times New Roman" w:cs="Times New Roman"/>
        </w:rPr>
      </w:pPr>
      <w:r w:rsidRPr="00213798">
        <w:rPr>
          <w:rFonts w:ascii="Times New Roman" w:hAnsi="Times New Roman" w:cs="Times New Roman"/>
        </w:rPr>
        <w:t xml:space="preserve">Dokument opracowano zgodnie </w:t>
      </w:r>
      <w:r w:rsidR="00717BC7">
        <w:rPr>
          <w:rFonts w:ascii="Times New Roman" w:hAnsi="Times New Roman" w:cs="Times New Roman"/>
        </w:rPr>
        <w:t xml:space="preserve">z </w:t>
      </w:r>
      <w:r w:rsidRPr="00213798">
        <w:rPr>
          <w:rFonts w:ascii="Times New Roman" w:hAnsi="Times New Roman" w:cs="Times New Roman"/>
        </w:rPr>
        <w:t>zaleceniami  Poradnika  praktycznego opracowanego przez Ministerstwo Funduszy i   Polityki Regionalnej  „Strategia  rozwoju gminy”, luty 202</w:t>
      </w:r>
      <w:r w:rsidR="00CA4843">
        <w:rPr>
          <w:rFonts w:ascii="Times New Roman" w:hAnsi="Times New Roman" w:cs="Times New Roman"/>
        </w:rPr>
        <w:t>1</w:t>
      </w:r>
      <w:r w:rsidRPr="00213798">
        <w:rPr>
          <w:rFonts w:ascii="Times New Roman" w:hAnsi="Times New Roman" w:cs="Times New Roman"/>
        </w:rPr>
        <w:t xml:space="preserve">,  </w:t>
      </w:r>
      <w:hyperlink r:id="rId9" w:history="1">
        <w:r w:rsidRPr="00213798">
          <w:rPr>
            <w:rStyle w:val="Hipercze"/>
            <w:rFonts w:ascii="Times New Roman" w:hAnsi="Times New Roman" w:cs="Times New Roman"/>
          </w:rPr>
          <w:t>https://www.gov.pl/web/fundusze-regiony/strategia-rozwoju-krok-po-kroku--podrecznik-dla-gmin</w:t>
        </w:r>
      </w:hyperlink>
      <w:r w:rsidRPr="00213798">
        <w:rPr>
          <w:rFonts w:ascii="Times New Roman" w:hAnsi="Times New Roman" w:cs="Times New Roman"/>
        </w:rPr>
        <w:t xml:space="preserve"> </w:t>
      </w:r>
    </w:p>
    <w:p w14:paraId="64BD513B" w14:textId="6976E9A1" w:rsidR="00AF118E" w:rsidRPr="00213798" w:rsidRDefault="00AC07FA" w:rsidP="00AC07FA">
      <w:pPr>
        <w:rPr>
          <w:rFonts w:ascii="Times New Roman" w:hAnsi="Times New Roman" w:cs="Times New Roman"/>
        </w:rPr>
      </w:pPr>
      <w:r w:rsidRPr="00213798">
        <w:rPr>
          <w:rFonts w:ascii="Times New Roman" w:hAnsi="Times New Roman" w:cs="Times New Roman"/>
        </w:rPr>
        <w:t xml:space="preserve"> </w:t>
      </w:r>
    </w:p>
    <w:p w14:paraId="24DAD56A" w14:textId="77777777" w:rsidR="008F6922" w:rsidRDefault="008F6922" w:rsidP="008F6922">
      <w:pPr>
        <w:pStyle w:val="Nagwek1"/>
      </w:pPr>
    </w:p>
    <w:p w14:paraId="12B222BD" w14:textId="3B9A90A8" w:rsidR="008F6922" w:rsidRDefault="008F6922" w:rsidP="008F6922"/>
    <w:p w14:paraId="33AC4CC2" w14:textId="74096C24" w:rsidR="008F6922" w:rsidRDefault="008F6922" w:rsidP="008F6922"/>
    <w:p w14:paraId="28868DBA" w14:textId="4CF7DABB" w:rsidR="008F6922" w:rsidRDefault="008F6922" w:rsidP="008F6922"/>
    <w:p w14:paraId="5B8F20AF" w14:textId="1CE5B0DE" w:rsidR="008F6922" w:rsidRDefault="008F6922" w:rsidP="008F6922"/>
    <w:p w14:paraId="32BEFF94" w14:textId="645F9CD1" w:rsidR="008F6922" w:rsidRDefault="008F6922" w:rsidP="008F6922"/>
    <w:p w14:paraId="430FE5C7" w14:textId="53EED3B1" w:rsidR="008F6922" w:rsidRDefault="008F6922" w:rsidP="008F6922"/>
    <w:p w14:paraId="0C3C0352" w14:textId="75582858" w:rsidR="008F6922" w:rsidRDefault="008F6922" w:rsidP="008F6922"/>
    <w:p w14:paraId="5210A3B7" w14:textId="6365851C" w:rsidR="008F6922" w:rsidRDefault="008F6922" w:rsidP="008F6922"/>
    <w:p w14:paraId="48B07703" w14:textId="34D280E3" w:rsidR="008F6922" w:rsidRDefault="008F6922" w:rsidP="008F6922"/>
    <w:p w14:paraId="0AA7534B" w14:textId="50331B05" w:rsidR="008F6922" w:rsidRDefault="008F6922" w:rsidP="008F6922"/>
    <w:p w14:paraId="53A06030" w14:textId="4A96F551" w:rsidR="008F6922" w:rsidRDefault="008F6922" w:rsidP="008F6922"/>
    <w:p w14:paraId="1C4E0323" w14:textId="77DB1FF7" w:rsidR="008F6922" w:rsidRDefault="008F6922" w:rsidP="008F6922"/>
    <w:p w14:paraId="2C664729" w14:textId="6AC4B041" w:rsidR="008F6922" w:rsidRDefault="008F6922" w:rsidP="008F6922"/>
    <w:p w14:paraId="16AAAEF1" w14:textId="2D061AA9" w:rsidR="008F6922" w:rsidRDefault="008F6922" w:rsidP="008F6922"/>
    <w:p w14:paraId="5E398754" w14:textId="60099BB9" w:rsidR="008F6922" w:rsidRDefault="008F6922" w:rsidP="008F6922"/>
    <w:p w14:paraId="6BA7EBDC" w14:textId="24104717" w:rsidR="008F6922" w:rsidRDefault="008F6922" w:rsidP="008F6922"/>
    <w:p w14:paraId="1F84140D" w14:textId="2901F045" w:rsidR="008F6922" w:rsidRDefault="008F6922" w:rsidP="008F6922"/>
    <w:p w14:paraId="4A6B4DB9" w14:textId="11919710" w:rsidR="008F6922" w:rsidRDefault="008F6922" w:rsidP="008F6922"/>
    <w:p w14:paraId="195D0706" w14:textId="20E32C3A" w:rsidR="008F6922" w:rsidRDefault="008F6922" w:rsidP="008F6922"/>
    <w:p w14:paraId="462465A4" w14:textId="1075CA87" w:rsidR="008F6922" w:rsidRPr="008F6922" w:rsidRDefault="008F6922" w:rsidP="008F6922">
      <w:pPr>
        <w:rPr>
          <w:rFonts w:ascii="Times New Roman" w:hAnsi="Times New Roman" w:cs="Times New Roman"/>
          <w:b/>
          <w:bCs/>
          <w:color w:val="0070C0"/>
          <w:sz w:val="28"/>
          <w:szCs w:val="28"/>
        </w:rPr>
      </w:pPr>
      <w:r w:rsidRPr="008F6922">
        <w:rPr>
          <w:rFonts w:ascii="Times New Roman" w:hAnsi="Times New Roman" w:cs="Times New Roman"/>
          <w:b/>
          <w:bCs/>
          <w:color w:val="0070C0"/>
          <w:sz w:val="28"/>
          <w:szCs w:val="28"/>
        </w:rPr>
        <w:t>Spis treści:</w:t>
      </w:r>
    </w:p>
    <w:p w14:paraId="3D65BEE1" w14:textId="77777777" w:rsidR="0007078D" w:rsidRPr="00CA4843" w:rsidRDefault="0007078D" w:rsidP="0007078D">
      <w:pPr>
        <w:rPr>
          <w:b/>
          <w:bCs/>
          <w:sz w:val="28"/>
          <w:szCs w:val="28"/>
        </w:rPr>
      </w:pPr>
    </w:p>
    <w:p w14:paraId="18544CFA" w14:textId="5ABFEE23" w:rsidR="0007078D" w:rsidRPr="00CA4843" w:rsidRDefault="0007078D" w:rsidP="0094209A">
      <w:pPr>
        <w:pStyle w:val="Akapitzlist"/>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Wprowadzenie</w:t>
      </w:r>
      <w:r w:rsidR="00CA4843">
        <w:rPr>
          <w:rFonts w:ascii="Times New Roman" w:hAnsi="Times New Roman" w:cs="Times New Roman"/>
          <w:sz w:val="28"/>
          <w:szCs w:val="28"/>
        </w:rPr>
        <w:t>…………………………………………………………….</w:t>
      </w:r>
      <w:r w:rsidR="00EE6A47">
        <w:rPr>
          <w:rFonts w:ascii="Times New Roman" w:hAnsi="Times New Roman" w:cs="Times New Roman"/>
          <w:sz w:val="28"/>
          <w:szCs w:val="28"/>
        </w:rPr>
        <w:t>4</w:t>
      </w:r>
      <w:r w:rsidRPr="00CA4843">
        <w:rPr>
          <w:rFonts w:ascii="Times New Roman" w:hAnsi="Times New Roman" w:cs="Times New Roman"/>
          <w:sz w:val="28"/>
          <w:szCs w:val="28"/>
        </w:rPr>
        <w:t xml:space="preserve"> </w:t>
      </w:r>
    </w:p>
    <w:p w14:paraId="7519DEDF" w14:textId="0E1BE426"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Wnioski z diagnozy dla potrzeb strategii rozwoju Miasta i Gminy Góra Kalwaria</w:t>
      </w:r>
      <w:r w:rsidR="00CA4843">
        <w:rPr>
          <w:rFonts w:ascii="Times New Roman" w:hAnsi="Times New Roman" w:cs="Times New Roman"/>
          <w:sz w:val="28"/>
          <w:szCs w:val="28"/>
        </w:rPr>
        <w:t>…………………………………………………………………</w:t>
      </w:r>
      <w:r w:rsidR="00EE6A47">
        <w:rPr>
          <w:rFonts w:ascii="Times New Roman" w:hAnsi="Times New Roman" w:cs="Times New Roman"/>
          <w:sz w:val="28"/>
          <w:szCs w:val="28"/>
        </w:rPr>
        <w:t>..6</w:t>
      </w:r>
      <w:r w:rsidRPr="00CA4843">
        <w:rPr>
          <w:rFonts w:ascii="Times New Roman" w:hAnsi="Times New Roman" w:cs="Times New Roman"/>
          <w:sz w:val="28"/>
          <w:szCs w:val="28"/>
        </w:rPr>
        <w:t xml:space="preserve"> </w:t>
      </w:r>
    </w:p>
    <w:p w14:paraId="7C87F8DC" w14:textId="7199E0DD"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 xml:space="preserve">Problemy i potrzeby rozwojowe w Mieście i Gminie Góra Kalwaria </w:t>
      </w:r>
      <w:r w:rsidR="00CA4843">
        <w:rPr>
          <w:rFonts w:ascii="Times New Roman" w:hAnsi="Times New Roman" w:cs="Times New Roman"/>
          <w:sz w:val="28"/>
          <w:szCs w:val="28"/>
        </w:rPr>
        <w:t>……</w:t>
      </w:r>
      <w:r w:rsidR="00EE6A47">
        <w:rPr>
          <w:rFonts w:ascii="Times New Roman" w:hAnsi="Times New Roman" w:cs="Times New Roman"/>
          <w:sz w:val="28"/>
          <w:szCs w:val="28"/>
        </w:rPr>
        <w:t>26</w:t>
      </w:r>
    </w:p>
    <w:p w14:paraId="076306D6" w14:textId="10C4E893"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Wizja rozwoju Miasta i Gminy Góra Kalwaria w perspektywie 2030</w:t>
      </w:r>
      <w:r w:rsidR="00CA4843">
        <w:rPr>
          <w:rFonts w:ascii="Times New Roman" w:hAnsi="Times New Roman" w:cs="Times New Roman"/>
          <w:sz w:val="28"/>
          <w:szCs w:val="28"/>
        </w:rPr>
        <w:t>…</w:t>
      </w:r>
      <w:r w:rsidR="00EE6A47">
        <w:rPr>
          <w:rFonts w:ascii="Times New Roman" w:hAnsi="Times New Roman" w:cs="Times New Roman"/>
          <w:sz w:val="28"/>
          <w:szCs w:val="28"/>
        </w:rPr>
        <w:t>...32</w:t>
      </w:r>
    </w:p>
    <w:p w14:paraId="7D09FD68" w14:textId="4B6D7162"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Cele strategiczne rozwoju w wymiarze: społecznym, gospodarczym, infrastrukturalnym i środowiskowo-przestrzennym oraz kierunki działań</w:t>
      </w:r>
      <w:r w:rsidR="00CA4843">
        <w:rPr>
          <w:rFonts w:ascii="Times New Roman" w:hAnsi="Times New Roman" w:cs="Times New Roman"/>
          <w:sz w:val="28"/>
          <w:szCs w:val="28"/>
        </w:rPr>
        <w:t>…………………………………………………………………</w:t>
      </w:r>
      <w:r w:rsidR="00EE6A47">
        <w:rPr>
          <w:rFonts w:ascii="Times New Roman" w:hAnsi="Times New Roman" w:cs="Times New Roman"/>
          <w:sz w:val="28"/>
          <w:szCs w:val="28"/>
        </w:rPr>
        <w:t>...32</w:t>
      </w:r>
    </w:p>
    <w:p w14:paraId="034B6B6E" w14:textId="28E2F337"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Model struktury funkcjonalno-przestrzennej Miasta i Gminy Góra Kalwaria</w:t>
      </w:r>
      <w:r w:rsidR="00CA4843">
        <w:rPr>
          <w:rFonts w:ascii="Times New Roman" w:hAnsi="Times New Roman" w:cs="Times New Roman"/>
          <w:sz w:val="28"/>
          <w:szCs w:val="28"/>
        </w:rPr>
        <w:t>…………………………………………………………………</w:t>
      </w:r>
      <w:r w:rsidR="00EE6A47">
        <w:rPr>
          <w:rFonts w:ascii="Times New Roman" w:hAnsi="Times New Roman" w:cs="Times New Roman"/>
          <w:sz w:val="28"/>
          <w:szCs w:val="28"/>
        </w:rPr>
        <w:t>36</w:t>
      </w:r>
      <w:r w:rsidRPr="00CA4843">
        <w:rPr>
          <w:rFonts w:ascii="Times New Roman" w:hAnsi="Times New Roman" w:cs="Times New Roman"/>
          <w:sz w:val="28"/>
          <w:szCs w:val="28"/>
        </w:rPr>
        <w:t xml:space="preserve">  </w:t>
      </w:r>
    </w:p>
    <w:p w14:paraId="7F651D1E" w14:textId="06D4BB9B" w:rsidR="0007078D" w:rsidRPr="00CA4843"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 xml:space="preserve">Ustalenia i rekomendacje w zakresie kształtowania i prowadzenia polityki przestrzennej </w:t>
      </w:r>
      <w:r w:rsidR="00CA4843">
        <w:rPr>
          <w:rFonts w:ascii="Times New Roman" w:hAnsi="Times New Roman" w:cs="Times New Roman"/>
          <w:sz w:val="28"/>
          <w:szCs w:val="28"/>
        </w:rPr>
        <w:t>…………………………………………………………….</w:t>
      </w:r>
      <w:r w:rsidR="00EE6A47">
        <w:rPr>
          <w:rFonts w:ascii="Times New Roman" w:hAnsi="Times New Roman" w:cs="Times New Roman"/>
          <w:sz w:val="28"/>
          <w:szCs w:val="28"/>
        </w:rPr>
        <w:t>53</w:t>
      </w:r>
    </w:p>
    <w:p w14:paraId="65FBDEA2" w14:textId="26657EEF" w:rsidR="00F9788E" w:rsidRDefault="0007078D" w:rsidP="0007078D">
      <w:pPr>
        <w:numPr>
          <w:ilvl w:val="0"/>
          <w:numId w:val="121"/>
        </w:numPr>
        <w:jc w:val="both"/>
        <w:rPr>
          <w:rFonts w:ascii="Times New Roman" w:hAnsi="Times New Roman" w:cs="Times New Roman"/>
          <w:sz w:val="28"/>
          <w:szCs w:val="28"/>
        </w:rPr>
      </w:pPr>
      <w:r w:rsidRPr="00CA4843">
        <w:rPr>
          <w:rFonts w:ascii="Times New Roman" w:hAnsi="Times New Roman" w:cs="Times New Roman"/>
          <w:sz w:val="28"/>
          <w:szCs w:val="28"/>
        </w:rPr>
        <w:t>Obszary strategicznej interwencji</w:t>
      </w:r>
      <w:r w:rsidR="00CA4843">
        <w:rPr>
          <w:rFonts w:ascii="Times New Roman" w:hAnsi="Times New Roman" w:cs="Times New Roman"/>
          <w:sz w:val="28"/>
          <w:szCs w:val="28"/>
        </w:rPr>
        <w:t>……………………………………….</w:t>
      </w:r>
      <w:r w:rsidRPr="00CA4843">
        <w:rPr>
          <w:rFonts w:ascii="Times New Roman" w:hAnsi="Times New Roman" w:cs="Times New Roman"/>
          <w:sz w:val="28"/>
          <w:szCs w:val="28"/>
        </w:rPr>
        <w:t xml:space="preserve"> </w:t>
      </w:r>
      <w:r w:rsidR="00EE6A47">
        <w:rPr>
          <w:rFonts w:ascii="Times New Roman" w:hAnsi="Times New Roman" w:cs="Times New Roman"/>
          <w:sz w:val="28"/>
          <w:szCs w:val="28"/>
        </w:rPr>
        <w:t>58</w:t>
      </w:r>
    </w:p>
    <w:p w14:paraId="651B1703" w14:textId="1D27510B" w:rsidR="0007078D" w:rsidRPr="00CA4843" w:rsidRDefault="00F9788E" w:rsidP="0007078D">
      <w:pPr>
        <w:numPr>
          <w:ilvl w:val="0"/>
          <w:numId w:val="121"/>
        </w:numPr>
        <w:jc w:val="both"/>
        <w:rPr>
          <w:rFonts w:ascii="Times New Roman" w:hAnsi="Times New Roman" w:cs="Times New Roman"/>
          <w:sz w:val="28"/>
          <w:szCs w:val="28"/>
        </w:rPr>
      </w:pPr>
      <w:r>
        <w:rPr>
          <w:rFonts w:ascii="Times New Roman" w:hAnsi="Times New Roman" w:cs="Times New Roman"/>
          <w:sz w:val="28"/>
          <w:szCs w:val="28"/>
        </w:rPr>
        <w:t>Powiązania z dokumentami wyższego szczebla………………………</w:t>
      </w:r>
      <w:r w:rsidR="00EE6A47">
        <w:rPr>
          <w:rFonts w:ascii="Times New Roman" w:hAnsi="Times New Roman" w:cs="Times New Roman"/>
          <w:sz w:val="28"/>
          <w:szCs w:val="28"/>
        </w:rPr>
        <w:t>...</w:t>
      </w:r>
      <w:r>
        <w:rPr>
          <w:rFonts w:ascii="Times New Roman" w:hAnsi="Times New Roman" w:cs="Times New Roman"/>
          <w:sz w:val="28"/>
          <w:szCs w:val="28"/>
        </w:rPr>
        <w:t>.</w:t>
      </w:r>
      <w:r w:rsidR="00EE6A47">
        <w:rPr>
          <w:rFonts w:ascii="Times New Roman" w:hAnsi="Times New Roman" w:cs="Times New Roman"/>
          <w:sz w:val="28"/>
          <w:szCs w:val="28"/>
        </w:rPr>
        <w:t>60</w:t>
      </w:r>
      <w:r w:rsidR="0007078D" w:rsidRPr="00CA4843">
        <w:rPr>
          <w:rFonts w:ascii="Times New Roman" w:hAnsi="Times New Roman" w:cs="Times New Roman"/>
          <w:sz w:val="28"/>
          <w:szCs w:val="28"/>
        </w:rPr>
        <w:t xml:space="preserve"> </w:t>
      </w:r>
    </w:p>
    <w:p w14:paraId="5B4EBC75" w14:textId="2A75540B" w:rsidR="0007078D" w:rsidRPr="00CA4843" w:rsidRDefault="00F9788E" w:rsidP="0007078D">
      <w:pPr>
        <w:numPr>
          <w:ilvl w:val="0"/>
          <w:numId w:val="121"/>
        </w:numPr>
        <w:jc w:val="both"/>
        <w:rPr>
          <w:rFonts w:ascii="Times New Roman" w:hAnsi="Times New Roman" w:cs="Times New Roman"/>
          <w:sz w:val="28"/>
          <w:szCs w:val="28"/>
        </w:rPr>
      </w:pPr>
      <w:r>
        <w:rPr>
          <w:rFonts w:ascii="Times New Roman" w:hAnsi="Times New Roman" w:cs="Times New Roman"/>
          <w:sz w:val="28"/>
          <w:szCs w:val="28"/>
        </w:rPr>
        <w:t xml:space="preserve"> </w:t>
      </w:r>
      <w:r w:rsidR="0007078D" w:rsidRPr="00CA4843">
        <w:rPr>
          <w:rFonts w:ascii="Times New Roman" w:hAnsi="Times New Roman" w:cs="Times New Roman"/>
          <w:sz w:val="28"/>
          <w:szCs w:val="28"/>
        </w:rPr>
        <w:t>System realizacji i monitorowania strategii</w:t>
      </w:r>
      <w:r w:rsidR="00CA4843">
        <w:rPr>
          <w:rFonts w:ascii="Times New Roman" w:hAnsi="Times New Roman" w:cs="Times New Roman"/>
          <w:sz w:val="28"/>
          <w:szCs w:val="28"/>
        </w:rPr>
        <w:t>……………………………..</w:t>
      </w:r>
      <w:r w:rsidR="00EE6A47">
        <w:rPr>
          <w:rFonts w:ascii="Times New Roman" w:hAnsi="Times New Roman" w:cs="Times New Roman"/>
          <w:sz w:val="28"/>
          <w:szCs w:val="28"/>
        </w:rPr>
        <w:t>7</w:t>
      </w:r>
      <w:r w:rsidR="000C73D0">
        <w:rPr>
          <w:rFonts w:ascii="Times New Roman" w:hAnsi="Times New Roman" w:cs="Times New Roman"/>
          <w:sz w:val="28"/>
          <w:szCs w:val="28"/>
        </w:rPr>
        <w:t>1</w:t>
      </w:r>
      <w:r w:rsidR="0007078D" w:rsidRPr="00CA4843">
        <w:rPr>
          <w:rFonts w:ascii="Times New Roman" w:hAnsi="Times New Roman" w:cs="Times New Roman"/>
          <w:sz w:val="28"/>
          <w:szCs w:val="28"/>
        </w:rPr>
        <w:t xml:space="preserve">  </w:t>
      </w:r>
    </w:p>
    <w:p w14:paraId="76A0C3B2" w14:textId="33072D1C" w:rsidR="0007078D" w:rsidRPr="00CA4843" w:rsidRDefault="00F9788E" w:rsidP="0007078D">
      <w:pPr>
        <w:numPr>
          <w:ilvl w:val="0"/>
          <w:numId w:val="121"/>
        </w:numPr>
        <w:jc w:val="both"/>
        <w:rPr>
          <w:rFonts w:ascii="Times New Roman" w:hAnsi="Times New Roman" w:cs="Times New Roman"/>
          <w:sz w:val="28"/>
          <w:szCs w:val="28"/>
        </w:rPr>
      </w:pPr>
      <w:r>
        <w:rPr>
          <w:rFonts w:ascii="Times New Roman" w:hAnsi="Times New Roman" w:cs="Times New Roman"/>
          <w:sz w:val="28"/>
          <w:szCs w:val="28"/>
        </w:rPr>
        <w:t xml:space="preserve"> </w:t>
      </w:r>
      <w:r w:rsidR="0007078D" w:rsidRPr="00CA4843">
        <w:rPr>
          <w:rFonts w:ascii="Times New Roman" w:hAnsi="Times New Roman" w:cs="Times New Roman"/>
          <w:sz w:val="28"/>
          <w:szCs w:val="28"/>
        </w:rPr>
        <w:t>Ramy finansowe i źródła finansowania</w:t>
      </w:r>
      <w:r w:rsidR="00CA4843">
        <w:rPr>
          <w:rFonts w:ascii="Times New Roman" w:hAnsi="Times New Roman" w:cs="Times New Roman"/>
          <w:sz w:val="28"/>
          <w:szCs w:val="28"/>
        </w:rPr>
        <w:t>…………………………………</w:t>
      </w:r>
      <w:r w:rsidR="00EE6A47">
        <w:rPr>
          <w:rFonts w:ascii="Times New Roman" w:hAnsi="Times New Roman" w:cs="Times New Roman"/>
          <w:sz w:val="28"/>
          <w:szCs w:val="28"/>
        </w:rPr>
        <w:t>7</w:t>
      </w:r>
      <w:r w:rsidR="000C73D0">
        <w:rPr>
          <w:rFonts w:ascii="Times New Roman" w:hAnsi="Times New Roman" w:cs="Times New Roman"/>
          <w:sz w:val="28"/>
          <w:szCs w:val="28"/>
        </w:rPr>
        <w:t>5</w:t>
      </w:r>
    </w:p>
    <w:p w14:paraId="58AA9A0D" w14:textId="68776F09" w:rsidR="0007078D" w:rsidRPr="00CA4843" w:rsidRDefault="0094209A" w:rsidP="0007078D">
      <w:pPr>
        <w:jc w:val="both"/>
        <w:rPr>
          <w:rFonts w:ascii="Times New Roman" w:hAnsi="Times New Roman" w:cs="Times New Roman"/>
          <w:sz w:val="28"/>
          <w:szCs w:val="28"/>
        </w:rPr>
      </w:pPr>
      <w:r w:rsidRPr="00CA4843">
        <w:rPr>
          <w:rFonts w:ascii="Times New Roman" w:hAnsi="Times New Roman" w:cs="Times New Roman"/>
          <w:sz w:val="28"/>
          <w:szCs w:val="28"/>
        </w:rPr>
        <w:t xml:space="preserve">       </w:t>
      </w:r>
      <w:r w:rsidR="0007078D" w:rsidRPr="00CA4843">
        <w:rPr>
          <w:rFonts w:ascii="Times New Roman" w:hAnsi="Times New Roman" w:cs="Times New Roman"/>
          <w:sz w:val="28"/>
          <w:szCs w:val="28"/>
        </w:rPr>
        <w:t>Spis tabel</w:t>
      </w:r>
      <w:r w:rsidR="00CA4843">
        <w:rPr>
          <w:rFonts w:ascii="Times New Roman" w:hAnsi="Times New Roman" w:cs="Times New Roman"/>
          <w:sz w:val="28"/>
          <w:szCs w:val="28"/>
        </w:rPr>
        <w:t>…………………………………………………………………</w:t>
      </w:r>
      <w:r w:rsidR="00EE6A47">
        <w:rPr>
          <w:rFonts w:ascii="Times New Roman" w:hAnsi="Times New Roman" w:cs="Times New Roman"/>
          <w:sz w:val="28"/>
          <w:szCs w:val="28"/>
        </w:rPr>
        <w:t>...9</w:t>
      </w:r>
      <w:r w:rsidR="000C73D0">
        <w:rPr>
          <w:rFonts w:ascii="Times New Roman" w:hAnsi="Times New Roman" w:cs="Times New Roman"/>
          <w:sz w:val="28"/>
          <w:szCs w:val="28"/>
        </w:rPr>
        <w:t>3</w:t>
      </w:r>
    </w:p>
    <w:p w14:paraId="47FAC1F2" w14:textId="10D4D735" w:rsidR="0094209A" w:rsidRPr="00CA4843" w:rsidRDefault="0094209A" w:rsidP="0007078D">
      <w:pPr>
        <w:jc w:val="both"/>
        <w:rPr>
          <w:rFonts w:ascii="Times New Roman" w:hAnsi="Times New Roman" w:cs="Times New Roman"/>
          <w:sz w:val="28"/>
          <w:szCs w:val="28"/>
        </w:rPr>
      </w:pPr>
      <w:r w:rsidRPr="00CA4843">
        <w:rPr>
          <w:rFonts w:ascii="Times New Roman" w:hAnsi="Times New Roman" w:cs="Times New Roman"/>
          <w:sz w:val="28"/>
          <w:szCs w:val="28"/>
        </w:rPr>
        <w:t xml:space="preserve">       Spis rycin</w:t>
      </w:r>
      <w:r w:rsidR="00CA4843">
        <w:rPr>
          <w:rFonts w:ascii="Times New Roman" w:hAnsi="Times New Roman" w:cs="Times New Roman"/>
          <w:sz w:val="28"/>
          <w:szCs w:val="28"/>
        </w:rPr>
        <w:t>…………………………………………………………………</w:t>
      </w:r>
      <w:r w:rsidR="00EE6A47">
        <w:rPr>
          <w:rFonts w:ascii="Times New Roman" w:hAnsi="Times New Roman" w:cs="Times New Roman"/>
          <w:sz w:val="28"/>
          <w:szCs w:val="28"/>
        </w:rPr>
        <w:t>..9</w:t>
      </w:r>
      <w:r w:rsidR="000C73D0">
        <w:rPr>
          <w:rFonts w:ascii="Times New Roman" w:hAnsi="Times New Roman" w:cs="Times New Roman"/>
          <w:sz w:val="28"/>
          <w:szCs w:val="28"/>
        </w:rPr>
        <w:t>4</w:t>
      </w:r>
    </w:p>
    <w:p w14:paraId="11E74B47" w14:textId="77777777" w:rsidR="008F6922" w:rsidRPr="0007078D" w:rsidRDefault="008F6922" w:rsidP="0007078D">
      <w:pPr>
        <w:jc w:val="both"/>
        <w:rPr>
          <w:rFonts w:ascii="Times New Roman" w:hAnsi="Times New Roman" w:cs="Times New Roman"/>
          <w:sz w:val="24"/>
          <w:szCs w:val="24"/>
        </w:rPr>
      </w:pPr>
    </w:p>
    <w:p w14:paraId="23421A49" w14:textId="77777777" w:rsidR="008F6922" w:rsidRDefault="008F6922" w:rsidP="008F6922">
      <w:pPr>
        <w:pStyle w:val="Nagwek1"/>
      </w:pPr>
    </w:p>
    <w:p w14:paraId="58D9D4E0" w14:textId="77777777" w:rsidR="008F6922" w:rsidRDefault="008F6922" w:rsidP="008F6922">
      <w:pPr>
        <w:pStyle w:val="Nagwek1"/>
      </w:pPr>
    </w:p>
    <w:p w14:paraId="1F76619F" w14:textId="77777777" w:rsidR="008F6922" w:rsidRDefault="008F6922" w:rsidP="008F6922">
      <w:pPr>
        <w:pStyle w:val="Nagwek1"/>
      </w:pPr>
    </w:p>
    <w:p w14:paraId="5CB1E14C" w14:textId="77777777" w:rsidR="008F6922" w:rsidRDefault="008F6922" w:rsidP="008F6922">
      <w:pPr>
        <w:pStyle w:val="Nagwek1"/>
      </w:pPr>
    </w:p>
    <w:p w14:paraId="052B662E" w14:textId="77777777" w:rsidR="008F6922" w:rsidRDefault="008F6922" w:rsidP="008F6922">
      <w:pPr>
        <w:pStyle w:val="Nagwek1"/>
      </w:pPr>
    </w:p>
    <w:p w14:paraId="4DD41AF6" w14:textId="77777777" w:rsidR="007A180F" w:rsidRDefault="007A180F" w:rsidP="008F6922">
      <w:pPr>
        <w:rPr>
          <w:rFonts w:ascii="Times New Roman" w:hAnsi="Times New Roman" w:cs="Times New Roman"/>
          <w:b/>
          <w:bCs/>
          <w:color w:val="0070C0"/>
          <w:sz w:val="28"/>
          <w:szCs w:val="28"/>
        </w:rPr>
      </w:pPr>
    </w:p>
    <w:p w14:paraId="66178D40" w14:textId="24C61A9F" w:rsidR="008A410D" w:rsidRPr="008C163B" w:rsidRDefault="00AF118E" w:rsidP="008C163B">
      <w:pPr>
        <w:pStyle w:val="Akapitzlist"/>
        <w:numPr>
          <w:ilvl w:val="0"/>
          <w:numId w:val="123"/>
        </w:numPr>
        <w:rPr>
          <w:rFonts w:ascii="Times New Roman" w:hAnsi="Times New Roman" w:cs="Times New Roman"/>
          <w:b/>
          <w:bCs/>
          <w:color w:val="0070C0"/>
          <w:sz w:val="28"/>
          <w:szCs w:val="28"/>
        </w:rPr>
      </w:pPr>
      <w:r w:rsidRPr="009A4B77">
        <w:rPr>
          <w:rFonts w:ascii="Times New Roman" w:hAnsi="Times New Roman" w:cs="Times New Roman"/>
          <w:b/>
          <w:bCs/>
          <w:color w:val="0070C0"/>
          <w:sz w:val="28"/>
          <w:szCs w:val="28"/>
        </w:rPr>
        <w:lastRenderedPageBreak/>
        <w:t xml:space="preserve">Wprowadzenie </w:t>
      </w:r>
    </w:p>
    <w:p w14:paraId="2AAF4AAE" w14:textId="09EA87E9" w:rsidR="008A410D" w:rsidRPr="00785BE2" w:rsidRDefault="008A410D" w:rsidP="00E90F52">
      <w:pPr>
        <w:spacing w:after="0" w:line="276" w:lineRule="auto"/>
        <w:jc w:val="both"/>
        <w:rPr>
          <w:rFonts w:ascii="Times New Roman" w:hAnsi="Times New Roman" w:cs="Times New Roman"/>
          <w:sz w:val="24"/>
          <w:szCs w:val="24"/>
        </w:rPr>
      </w:pPr>
      <w:r w:rsidRPr="00785BE2">
        <w:rPr>
          <w:rFonts w:ascii="Times New Roman" w:hAnsi="Times New Roman" w:cs="Times New Roman"/>
          <w:i/>
          <w:sz w:val="24"/>
          <w:szCs w:val="24"/>
        </w:rPr>
        <w:t>Strategia rozwoju Miasta i Gminy Góra Kalwaria do 2030 roku</w:t>
      </w:r>
      <w:r w:rsidRPr="00785BE2">
        <w:rPr>
          <w:rFonts w:ascii="Times New Roman" w:hAnsi="Times New Roman" w:cs="Times New Roman"/>
          <w:iCs/>
          <w:sz w:val="24"/>
          <w:szCs w:val="24"/>
        </w:rPr>
        <w:t xml:space="preserve"> (zwana dalej </w:t>
      </w:r>
      <w:r w:rsidRPr="00785BE2">
        <w:rPr>
          <w:rFonts w:ascii="Times New Roman" w:hAnsi="Times New Roman" w:cs="Times New Roman"/>
          <w:sz w:val="24"/>
          <w:szCs w:val="24"/>
        </w:rPr>
        <w:t xml:space="preserve">Strategią) to kluczowy dokument programowania rozwoju lokalnego, stanowiący zapis wizji (czyli stanu docelowego rozwoju) wraz z etapami jej realizacji (czyli celami). Zgodnie z przyjętą i wdrożoną w roku 2020 nowelizacją ustawy o zasadach prowadzenia polityki rozwoju </w:t>
      </w:r>
      <w:r w:rsidR="00E90F52" w:rsidRPr="00785BE2">
        <w:rPr>
          <w:rFonts w:ascii="Times New Roman" w:hAnsi="Times New Roman" w:cs="Times New Roman"/>
          <w:sz w:val="24"/>
          <w:szCs w:val="24"/>
        </w:rPr>
        <w:t xml:space="preserve">niniejsza </w:t>
      </w:r>
      <w:r w:rsidRPr="00785BE2">
        <w:rPr>
          <w:rFonts w:ascii="Times New Roman" w:hAnsi="Times New Roman" w:cs="Times New Roman"/>
          <w:sz w:val="24"/>
          <w:szCs w:val="24"/>
        </w:rPr>
        <w:t xml:space="preserve">Strategia oprócz odniesienia do sfery społeczno-gospodarczej zawiera także wyraźne wskazówki dla prowadzenia polityki przestrzennej oraz terytorialne aspekty sformułowanych celów.  Przygotowana </w:t>
      </w:r>
      <w:r w:rsidR="00E90F52" w:rsidRPr="00785BE2">
        <w:rPr>
          <w:rFonts w:ascii="Times New Roman" w:hAnsi="Times New Roman" w:cs="Times New Roman"/>
          <w:sz w:val="24"/>
          <w:szCs w:val="24"/>
        </w:rPr>
        <w:t xml:space="preserve">i przedkładana do konsultacji Strategia </w:t>
      </w:r>
      <w:r w:rsidRPr="00785BE2">
        <w:rPr>
          <w:rFonts w:ascii="Times New Roman" w:hAnsi="Times New Roman" w:cs="Times New Roman"/>
          <w:sz w:val="24"/>
          <w:szCs w:val="24"/>
        </w:rPr>
        <w:t xml:space="preserve">pełni dwie </w:t>
      </w:r>
      <w:r w:rsidR="00E90F52" w:rsidRPr="00785BE2">
        <w:rPr>
          <w:rFonts w:ascii="Times New Roman" w:hAnsi="Times New Roman" w:cs="Times New Roman"/>
          <w:sz w:val="24"/>
          <w:szCs w:val="24"/>
        </w:rPr>
        <w:t>główne</w:t>
      </w:r>
      <w:r w:rsidRPr="00785BE2">
        <w:rPr>
          <w:rFonts w:ascii="Times New Roman" w:hAnsi="Times New Roman" w:cs="Times New Roman"/>
          <w:sz w:val="24"/>
          <w:szCs w:val="24"/>
        </w:rPr>
        <w:t xml:space="preserve"> funkcje:</w:t>
      </w:r>
    </w:p>
    <w:p w14:paraId="21D0CB3B" w14:textId="76D56653" w:rsidR="008A410D" w:rsidRPr="00785BE2" w:rsidRDefault="008A410D">
      <w:pPr>
        <w:pStyle w:val="Akapitzlist"/>
        <w:numPr>
          <w:ilvl w:val="0"/>
          <w:numId w:val="86"/>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 xml:space="preserve">zarządczą (administracyjną) – jest to wewnętrzna funkcja Strategii jako dokumentu, w oparciu o który jest realizowana polityka rozwoju i podejmowane są kluczowe  (strategiczne) decyzje w gminie; </w:t>
      </w:r>
    </w:p>
    <w:p w14:paraId="62115DFD" w14:textId="77C35402" w:rsidR="008A410D" w:rsidRPr="00785BE2" w:rsidRDefault="008A410D">
      <w:pPr>
        <w:pStyle w:val="Akapitzlist"/>
        <w:numPr>
          <w:ilvl w:val="0"/>
          <w:numId w:val="86"/>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informacyjno-edukacyjną (bardziej zewnętrzną), w tym ujęciu Strategia traktowana jest jako produkt informacyjny i promocyjny.</w:t>
      </w:r>
      <w:r w:rsidR="007A180F">
        <w:rPr>
          <w:rFonts w:ascii="Times New Roman" w:hAnsi="Times New Roman" w:cs="Times New Roman"/>
          <w:sz w:val="24"/>
          <w:szCs w:val="24"/>
        </w:rPr>
        <w:t xml:space="preserve"> </w:t>
      </w:r>
      <w:r w:rsidRPr="00785BE2">
        <w:rPr>
          <w:rFonts w:ascii="Times New Roman" w:hAnsi="Times New Roman" w:cs="Times New Roman"/>
          <w:sz w:val="24"/>
          <w:szCs w:val="24"/>
        </w:rPr>
        <w:t>Stanowi informację o aspiracjach rozwojowych gminy i jej zamierzeniach. Skierowana jest do interesariuszy bliższych i dalszych (np. do mieszkańców oraz inwestorów). Bardzo ważna jest także funkcja edukacyjna</w:t>
      </w:r>
      <w:r w:rsidR="008F6922">
        <w:rPr>
          <w:rFonts w:ascii="Times New Roman" w:hAnsi="Times New Roman" w:cs="Times New Roman"/>
          <w:sz w:val="24"/>
          <w:szCs w:val="24"/>
        </w:rPr>
        <w:t xml:space="preserve">. </w:t>
      </w:r>
      <w:r w:rsidRPr="00785BE2">
        <w:rPr>
          <w:rFonts w:ascii="Times New Roman" w:hAnsi="Times New Roman" w:cs="Times New Roman"/>
          <w:sz w:val="24"/>
          <w:szCs w:val="24"/>
        </w:rPr>
        <w:t xml:space="preserve">Strategia pełni ją już na etapie opracowywania, dając interesariuszom możliwość wglądu w proces </w:t>
      </w:r>
      <w:r w:rsidR="008F6922">
        <w:rPr>
          <w:rFonts w:ascii="Times New Roman" w:hAnsi="Times New Roman" w:cs="Times New Roman"/>
          <w:sz w:val="24"/>
          <w:szCs w:val="24"/>
        </w:rPr>
        <w:t>kształtowania</w:t>
      </w:r>
      <w:r w:rsidRPr="00785BE2">
        <w:rPr>
          <w:rFonts w:ascii="Times New Roman" w:hAnsi="Times New Roman" w:cs="Times New Roman"/>
          <w:sz w:val="24"/>
          <w:szCs w:val="24"/>
        </w:rPr>
        <w:t xml:space="preserve"> polityki lokalnej. </w:t>
      </w:r>
    </w:p>
    <w:p w14:paraId="1BDF0F65" w14:textId="7A88C32B" w:rsidR="008B6EA5" w:rsidRPr="00785BE2" w:rsidRDefault="008F6922" w:rsidP="008B6EA5">
      <w:pPr>
        <w:spacing w:after="0" w:line="276" w:lineRule="auto"/>
        <w:jc w:val="both"/>
        <w:rPr>
          <w:rFonts w:ascii="Times New Roman" w:hAnsi="Times New Roman" w:cs="Times New Roman"/>
          <w:sz w:val="24"/>
          <w:szCs w:val="24"/>
        </w:rPr>
      </w:pPr>
      <w:r>
        <w:rPr>
          <w:rFonts w:ascii="Times New Roman" w:hAnsi="Times New Roman" w:cs="Times New Roman"/>
          <w:sz w:val="24"/>
          <w:szCs w:val="24"/>
        </w:rPr>
        <w:t>W niniejszym dokumencie p</w:t>
      </w:r>
      <w:r w:rsidR="008B6EA5" w:rsidRPr="00785BE2">
        <w:rPr>
          <w:rFonts w:ascii="Times New Roman" w:hAnsi="Times New Roman" w:cs="Times New Roman"/>
          <w:sz w:val="24"/>
          <w:szCs w:val="24"/>
        </w:rPr>
        <w:t>rzyjęto, że Strategia w warstwie celów i kierunków działań oraz sposobie realizacji nie ogranicza się tylko do zadań własnych gminy. Założono, że celem Strategii jest także umożliwianie i/lub inicjowanie współpracy różnych grup interesariuszy, na rzecz rozwoju lokalnego. W tego powodu w Strategii zapisano także cele i kierunki działań wymagające współpracy i partnerstw (</w:t>
      </w:r>
      <w:r>
        <w:rPr>
          <w:rFonts w:ascii="Times New Roman" w:hAnsi="Times New Roman" w:cs="Times New Roman"/>
          <w:sz w:val="24"/>
          <w:szCs w:val="24"/>
        </w:rPr>
        <w:t xml:space="preserve">zarówno </w:t>
      </w:r>
      <w:r w:rsidR="008B6EA5" w:rsidRPr="00785BE2">
        <w:rPr>
          <w:rFonts w:ascii="Times New Roman" w:hAnsi="Times New Roman" w:cs="Times New Roman"/>
          <w:sz w:val="24"/>
          <w:szCs w:val="24"/>
        </w:rPr>
        <w:t xml:space="preserve">formalnych </w:t>
      </w:r>
      <w:r>
        <w:rPr>
          <w:rFonts w:ascii="Times New Roman" w:hAnsi="Times New Roman" w:cs="Times New Roman"/>
          <w:sz w:val="24"/>
          <w:szCs w:val="24"/>
        </w:rPr>
        <w:t xml:space="preserve">jak </w:t>
      </w:r>
      <w:r w:rsidR="008B6EA5" w:rsidRPr="00785BE2">
        <w:rPr>
          <w:rFonts w:ascii="Times New Roman" w:hAnsi="Times New Roman" w:cs="Times New Roman"/>
          <w:sz w:val="24"/>
          <w:szCs w:val="24"/>
        </w:rPr>
        <w:t>i nieformalnych).</w:t>
      </w:r>
    </w:p>
    <w:p w14:paraId="0A57C5B6" w14:textId="1B37751B" w:rsidR="00E90F52" w:rsidRPr="00785BE2" w:rsidRDefault="00E90F52" w:rsidP="00E90F52">
      <w:pPr>
        <w:spacing w:after="0" w:line="276" w:lineRule="auto"/>
        <w:jc w:val="both"/>
        <w:rPr>
          <w:rFonts w:ascii="Times New Roman" w:hAnsi="Times New Roman" w:cs="Times New Roman"/>
          <w:bCs/>
          <w:sz w:val="24"/>
          <w:szCs w:val="24"/>
        </w:rPr>
      </w:pPr>
      <w:r w:rsidRPr="00785BE2">
        <w:rPr>
          <w:rFonts w:ascii="Times New Roman" w:hAnsi="Times New Roman" w:cs="Times New Roman"/>
          <w:sz w:val="24"/>
          <w:szCs w:val="24"/>
        </w:rPr>
        <w:t xml:space="preserve">Strategia przygotowana została w zgodzie z wymogami metodologicznymi dla lokalnych dokumentów strategicznych oraz  zaleceniami  Ministerstwa Funduszy i Polityki Regionalnej opublikowanymi w lutym 2021 r. w </w:t>
      </w:r>
      <w:r w:rsidRPr="008F6922">
        <w:rPr>
          <w:rFonts w:ascii="Times New Roman" w:hAnsi="Times New Roman" w:cs="Times New Roman"/>
          <w:i/>
          <w:iCs/>
          <w:sz w:val="24"/>
          <w:szCs w:val="24"/>
        </w:rPr>
        <w:t>Poradniku Praktycznym. Strategia Rozwoju Gminy</w:t>
      </w:r>
      <w:r w:rsidRPr="00785BE2">
        <w:rPr>
          <w:rFonts w:ascii="Times New Roman" w:hAnsi="Times New Roman" w:cs="Times New Roman"/>
          <w:sz w:val="24"/>
          <w:szCs w:val="24"/>
        </w:rPr>
        <w:t xml:space="preserve"> (dalej Poradnik). Prace nad Strategią prowadzone były z wykorzystaniem następujących szczegółowych metod:</w:t>
      </w:r>
    </w:p>
    <w:p w14:paraId="644897DA" w14:textId="77777777" w:rsidR="00E90F52" w:rsidRPr="00785BE2" w:rsidRDefault="00E90F52">
      <w:pPr>
        <w:numPr>
          <w:ilvl w:val="0"/>
          <w:numId w:val="87"/>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 xml:space="preserve">analiz materiałów źródłowych (szczególnie </w:t>
      </w:r>
      <w:r w:rsidRPr="00785BE2">
        <w:rPr>
          <w:rFonts w:ascii="Times New Roman" w:hAnsi="Times New Roman" w:cs="Times New Roman"/>
          <w:i/>
          <w:sz w:val="24"/>
          <w:szCs w:val="24"/>
        </w:rPr>
        <w:t>desk</w:t>
      </w:r>
      <w:r w:rsidRPr="00785BE2">
        <w:rPr>
          <w:rFonts w:ascii="Times New Roman" w:hAnsi="Times New Roman" w:cs="Times New Roman"/>
          <w:sz w:val="24"/>
          <w:szCs w:val="24"/>
        </w:rPr>
        <w:t xml:space="preserve"> i </w:t>
      </w:r>
      <w:r w:rsidRPr="00785BE2">
        <w:rPr>
          <w:rFonts w:ascii="Times New Roman" w:hAnsi="Times New Roman" w:cs="Times New Roman"/>
          <w:i/>
          <w:sz w:val="24"/>
          <w:szCs w:val="24"/>
        </w:rPr>
        <w:t>web research</w:t>
      </w:r>
      <w:r w:rsidRPr="00785BE2">
        <w:rPr>
          <w:rFonts w:ascii="Times New Roman" w:hAnsi="Times New Roman" w:cs="Times New Roman"/>
          <w:sz w:val="24"/>
          <w:szCs w:val="24"/>
        </w:rPr>
        <w:t>), w tym dokumentów lokalnych, regionalnych, krajowych i europejskich;</w:t>
      </w:r>
    </w:p>
    <w:p w14:paraId="3F32CCDE" w14:textId="77777777" w:rsidR="00E90F52" w:rsidRPr="00785BE2" w:rsidRDefault="00E90F52">
      <w:pPr>
        <w:numPr>
          <w:ilvl w:val="0"/>
          <w:numId w:val="87"/>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analiz materiałów przekazanych wykonawcom przez Zamawiającego;</w:t>
      </w:r>
    </w:p>
    <w:p w14:paraId="1AEA2476" w14:textId="46F9B4AA" w:rsidR="00E90F52" w:rsidRPr="00785BE2" w:rsidRDefault="00E90F52">
      <w:pPr>
        <w:numPr>
          <w:ilvl w:val="0"/>
          <w:numId w:val="87"/>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analiz danych statystycznych,</w:t>
      </w:r>
      <w:r w:rsidR="007A180F">
        <w:rPr>
          <w:rFonts w:ascii="Times New Roman" w:hAnsi="Times New Roman" w:cs="Times New Roman"/>
          <w:sz w:val="24"/>
          <w:szCs w:val="24"/>
        </w:rPr>
        <w:t xml:space="preserve"> </w:t>
      </w:r>
      <w:r w:rsidRPr="00785BE2">
        <w:rPr>
          <w:rFonts w:ascii="Times New Roman" w:hAnsi="Times New Roman" w:cs="Times New Roman"/>
          <w:sz w:val="24"/>
          <w:szCs w:val="24"/>
        </w:rPr>
        <w:t>szczególnie dostępnych w Banku Danych Lokalnych;</w:t>
      </w:r>
    </w:p>
    <w:p w14:paraId="2385851B" w14:textId="1AA98D9E" w:rsidR="00E90F52" w:rsidRPr="00785BE2" w:rsidRDefault="00E90F52">
      <w:pPr>
        <w:numPr>
          <w:ilvl w:val="0"/>
          <w:numId w:val="87"/>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 xml:space="preserve">pracy warsztatowej prowadzonej z wykorzystaniem dyskusji z elementami burzy mózgów; </w:t>
      </w:r>
    </w:p>
    <w:p w14:paraId="5450262A" w14:textId="7898961B" w:rsidR="00E90F52" w:rsidRPr="00785BE2" w:rsidRDefault="00E90F52">
      <w:pPr>
        <w:numPr>
          <w:ilvl w:val="0"/>
          <w:numId w:val="87"/>
        </w:num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pracy ekspertów w zakresie rozwoju lokalnego.</w:t>
      </w:r>
    </w:p>
    <w:p w14:paraId="0D85E7EC" w14:textId="258625FE" w:rsidR="00E90F52" w:rsidRPr="00785BE2" w:rsidRDefault="00E90F52" w:rsidP="00E90F52">
      <w:p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t xml:space="preserve">Zgodnie z zapisami Poradnika, w opracowaniu Strategii rozwoju </w:t>
      </w:r>
      <w:r w:rsidR="008B6EA5" w:rsidRPr="00785BE2">
        <w:rPr>
          <w:rFonts w:ascii="Times New Roman" w:hAnsi="Times New Roman" w:cs="Times New Roman"/>
          <w:sz w:val="24"/>
          <w:szCs w:val="24"/>
        </w:rPr>
        <w:t>M</w:t>
      </w:r>
      <w:r w:rsidRPr="00785BE2">
        <w:rPr>
          <w:rFonts w:ascii="Times New Roman" w:hAnsi="Times New Roman" w:cs="Times New Roman"/>
          <w:sz w:val="24"/>
          <w:szCs w:val="24"/>
        </w:rPr>
        <w:t xml:space="preserve">iasta i </w:t>
      </w:r>
      <w:r w:rsidR="008B6EA5" w:rsidRPr="00785BE2">
        <w:rPr>
          <w:rFonts w:ascii="Times New Roman" w:hAnsi="Times New Roman" w:cs="Times New Roman"/>
          <w:sz w:val="24"/>
          <w:szCs w:val="24"/>
        </w:rPr>
        <w:t>G</w:t>
      </w:r>
      <w:r w:rsidRPr="00785BE2">
        <w:rPr>
          <w:rFonts w:ascii="Times New Roman" w:hAnsi="Times New Roman" w:cs="Times New Roman"/>
          <w:sz w:val="24"/>
          <w:szCs w:val="24"/>
        </w:rPr>
        <w:t xml:space="preserve">miny Góra Kalwaria przyjęto  metodę ekspercką z elementami partycypacji (szczególnie na etapie formułowania wizji, celów oraz zasad wdrażania Strategii). </w:t>
      </w:r>
      <w:r w:rsidR="00717BC7">
        <w:rPr>
          <w:rFonts w:ascii="Times New Roman" w:hAnsi="Times New Roman" w:cs="Times New Roman"/>
          <w:sz w:val="24"/>
          <w:szCs w:val="24"/>
        </w:rPr>
        <w:t>P</w:t>
      </w:r>
      <w:r w:rsidRPr="00785BE2">
        <w:rPr>
          <w:rFonts w:ascii="Times New Roman" w:hAnsi="Times New Roman" w:cs="Times New Roman"/>
          <w:sz w:val="24"/>
          <w:szCs w:val="24"/>
        </w:rPr>
        <w:t>roces diagnostyczny  (opracowanie Diagnozy rozwoju społeczno-gospodar</w:t>
      </w:r>
      <w:r w:rsidR="008B6EA5" w:rsidRPr="00785BE2">
        <w:rPr>
          <w:rFonts w:ascii="Times New Roman" w:hAnsi="Times New Roman" w:cs="Times New Roman"/>
          <w:sz w:val="24"/>
          <w:szCs w:val="24"/>
        </w:rPr>
        <w:t>cz</w:t>
      </w:r>
      <w:r w:rsidRPr="00785BE2">
        <w:rPr>
          <w:rFonts w:ascii="Times New Roman" w:hAnsi="Times New Roman" w:cs="Times New Roman"/>
          <w:sz w:val="24"/>
          <w:szCs w:val="24"/>
        </w:rPr>
        <w:t xml:space="preserve">ego Miasta i Gminy Góra </w:t>
      </w:r>
      <w:r w:rsidR="008B6EA5" w:rsidRPr="00785BE2">
        <w:rPr>
          <w:rFonts w:ascii="Times New Roman" w:hAnsi="Times New Roman" w:cs="Times New Roman"/>
          <w:sz w:val="24"/>
          <w:szCs w:val="24"/>
        </w:rPr>
        <w:t xml:space="preserve">Kalwaria) został przeprowadzony jako poprzedzający dla </w:t>
      </w:r>
      <w:r w:rsidRPr="00785BE2">
        <w:rPr>
          <w:rFonts w:ascii="Times New Roman" w:hAnsi="Times New Roman" w:cs="Times New Roman"/>
          <w:sz w:val="24"/>
          <w:szCs w:val="24"/>
        </w:rPr>
        <w:t xml:space="preserve"> </w:t>
      </w:r>
      <w:r w:rsidR="008B6EA5" w:rsidRPr="00785BE2">
        <w:rPr>
          <w:rFonts w:ascii="Times New Roman" w:hAnsi="Times New Roman" w:cs="Times New Roman"/>
          <w:sz w:val="24"/>
          <w:szCs w:val="24"/>
        </w:rPr>
        <w:t>opracowania Strategii w roku 2021. Niniejsza Strategia z</w:t>
      </w:r>
      <w:r w:rsidR="00717BC7">
        <w:rPr>
          <w:rFonts w:ascii="Times New Roman" w:hAnsi="Times New Roman" w:cs="Times New Roman"/>
          <w:sz w:val="24"/>
          <w:szCs w:val="24"/>
        </w:rPr>
        <w:t>a</w:t>
      </w:r>
      <w:r w:rsidR="008B6EA5" w:rsidRPr="00785BE2">
        <w:rPr>
          <w:rFonts w:ascii="Times New Roman" w:hAnsi="Times New Roman" w:cs="Times New Roman"/>
          <w:sz w:val="24"/>
          <w:szCs w:val="24"/>
        </w:rPr>
        <w:t xml:space="preserve">wiera </w:t>
      </w:r>
      <w:r w:rsidR="008F6922">
        <w:rPr>
          <w:rFonts w:ascii="Times New Roman" w:hAnsi="Times New Roman" w:cs="Times New Roman"/>
          <w:sz w:val="24"/>
          <w:szCs w:val="24"/>
        </w:rPr>
        <w:t xml:space="preserve">jedynie </w:t>
      </w:r>
      <w:r w:rsidR="008B6EA5" w:rsidRPr="00785BE2">
        <w:rPr>
          <w:rFonts w:ascii="Times New Roman" w:hAnsi="Times New Roman" w:cs="Times New Roman"/>
          <w:sz w:val="24"/>
          <w:szCs w:val="24"/>
        </w:rPr>
        <w:t xml:space="preserve">wnioski z diagnozy oraz problemy zidentyfikowane w diagnozie i pracy warsztatowej z interesariuszami. </w:t>
      </w:r>
    </w:p>
    <w:p w14:paraId="322E080F" w14:textId="266C47A2" w:rsidR="008B6EA5" w:rsidRDefault="008B6EA5" w:rsidP="00E90F52">
      <w:pPr>
        <w:spacing w:after="0" w:line="276" w:lineRule="auto"/>
        <w:jc w:val="both"/>
        <w:rPr>
          <w:rFonts w:ascii="Times New Roman" w:hAnsi="Times New Roman" w:cs="Times New Roman"/>
          <w:sz w:val="24"/>
          <w:szCs w:val="24"/>
        </w:rPr>
      </w:pPr>
      <w:r w:rsidRPr="00785BE2">
        <w:rPr>
          <w:rFonts w:ascii="Times New Roman" w:hAnsi="Times New Roman" w:cs="Times New Roman"/>
          <w:sz w:val="24"/>
          <w:szCs w:val="24"/>
        </w:rPr>
        <w:lastRenderedPageBreak/>
        <w:t xml:space="preserve">Projekt Strategii został podany konsultacjom społecznym zgodnie z Uchwałą Nr XXXI/265/2016 Rady Miejskiej Góry Kalwarii z dnia 22 czerwca 2016 roku w sprawie zasad i trybu przeprowadzania konsultacji z mieszkańcami gminy Góra Kalwaria. </w:t>
      </w:r>
    </w:p>
    <w:p w14:paraId="2304DAD5" w14:textId="77777777" w:rsidR="008F6922" w:rsidRPr="00785BE2" w:rsidRDefault="008F6922" w:rsidP="00E90F52">
      <w:pPr>
        <w:spacing w:after="0" w:line="276" w:lineRule="auto"/>
        <w:jc w:val="both"/>
        <w:rPr>
          <w:rFonts w:ascii="Times New Roman" w:hAnsi="Times New Roman" w:cs="Times New Roman"/>
          <w:sz w:val="24"/>
          <w:szCs w:val="24"/>
        </w:rPr>
      </w:pPr>
    </w:p>
    <w:p w14:paraId="4AD14029" w14:textId="77777777" w:rsidR="00A36CBA" w:rsidRDefault="00A36CBA" w:rsidP="005761B6">
      <w:pPr>
        <w:pStyle w:val="Nagwek1"/>
        <w:rPr>
          <w:rFonts w:ascii="Times New Roman" w:hAnsi="Times New Roman" w:cs="Times New Roman"/>
          <w:b/>
          <w:bCs/>
          <w:color w:val="0070C0"/>
          <w:sz w:val="28"/>
          <w:szCs w:val="28"/>
        </w:rPr>
      </w:pPr>
    </w:p>
    <w:p w14:paraId="3FC127C7" w14:textId="77777777" w:rsidR="00A36CBA" w:rsidRDefault="00A36CBA" w:rsidP="005761B6">
      <w:pPr>
        <w:pStyle w:val="Nagwek1"/>
        <w:rPr>
          <w:rFonts w:ascii="Times New Roman" w:hAnsi="Times New Roman" w:cs="Times New Roman"/>
          <w:b/>
          <w:bCs/>
          <w:color w:val="0070C0"/>
          <w:sz w:val="28"/>
          <w:szCs w:val="28"/>
        </w:rPr>
      </w:pPr>
    </w:p>
    <w:p w14:paraId="0E14A17A" w14:textId="77777777" w:rsidR="00A36CBA" w:rsidRDefault="00A36CBA" w:rsidP="005761B6">
      <w:pPr>
        <w:pStyle w:val="Nagwek1"/>
        <w:rPr>
          <w:rFonts w:ascii="Times New Roman" w:hAnsi="Times New Roman" w:cs="Times New Roman"/>
          <w:b/>
          <w:bCs/>
          <w:color w:val="0070C0"/>
          <w:sz w:val="28"/>
          <w:szCs w:val="28"/>
        </w:rPr>
      </w:pPr>
    </w:p>
    <w:p w14:paraId="7A55D265" w14:textId="77777777" w:rsidR="00A36CBA" w:rsidRDefault="00A36CBA" w:rsidP="005761B6">
      <w:pPr>
        <w:pStyle w:val="Nagwek1"/>
        <w:rPr>
          <w:rFonts w:ascii="Times New Roman" w:hAnsi="Times New Roman" w:cs="Times New Roman"/>
          <w:b/>
          <w:bCs/>
          <w:color w:val="0070C0"/>
          <w:sz w:val="28"/>
          <w:szCs w:val="28"/>
        </w:rPr>
      </w:pPr>
    </w:p>
    <w:p w14:paraId="36A6388C" w14:textId="77777777" w:rsidR="00A36CBA" w:rsidRDefault="00A36CBA" w:rsidP="005761B6">
      <w:pPr>
        <w:pStyle w:val="Nagwek1"/>
        <w:rPr>
          <w:rFonts w:ascii="Times New Roman" w:hAnsi="Times New Roman" w:cs="Times New Roman"/>
          <w:b/>
          <w:bCs/>
          <w:color w:val="0070C0"/>
          <w:sz w:val="28"/>
          <w:szCs w:val="28"/>
        </w:rPr>
      </w:pPr>
    </w:p>
    <w:p w14:paraId="608AA5D0" w14:textId="77777777" w:rsidR="00A36CBA" w:rsidRDefault="00A36CBA" w:rsidP="005761B6">
      <w:pPr>
        <w:pStyle w:val="Nagwek1"/>
        <w:rPr>
          <w:rFonts w:ascii="Times New Roman" w:hAnsi="Times New Roman" w:cs="Times New Roman"/>
          <w:b/>
          <w:bCs/>
          <w:color w:val="0070C0"/>
          <w:sz w:val="28"/>
          <w:szCs w:val="28"/>
        </w:rPr>
      </w:pPr>
    </w:p>
    <w:p w14:paraId="4B3908E7" w14:textId="77777777" w:rsidR="00A36CBA" w:rsidRDefault="00A36CBA" w:rsidP="005761B6">
      <w:pPr>
        <w:pStyle w:val="Nagwek1"/>
        <w:rPr>
          <w:rFonts w:ascii="Times New Roman" w:hAnsi="Times New Roman" w:cs="Times New Roman"/>
          <w:b/>
          <w:bCs/>
          <w:color w:val="0070C0"/>
          <w:sz w:val="28"/>
          <w:szCs w:val="28"/>
        </w:rPr>
      </w:pPr>
    </w:p>
    <w:p w14:paraId="29A1C893" w14:textId="77777777" w:rsidR="00A36CBA" w:rsidRDefault="00A36CBA" w:rsidP="005761B6">
      <w:pPr>
        <w:pStyle w:val="Nagwek1"/>
        <w:rPr>
          <w:rFonts w:ascii="Times New Roman" w:hAnsi="Times New Roman" w:cs="Times New Roman"/>
          <w:b/>
          <w:bCs/>
          <w:color w:val="0070C0"/>
          <w:sz w:val="28"/>
          <w:szCs w:val="28"/>
        </w:rPr>
      </w:pPr>
    </w:p>
    <w:p w14:paraId="78103828" w14:textId="77777777" w:rsidR="00A36CBA" w:rsidRDefault="00A36CBA" w:rsidP="005761B6">
      <w:pPr>
        <w:pStyle w:val="Nagwek1"/>
        <w:rPr>
          <w:rFonts w:ascii="Times New Roman" w:hAnsi="Times New Roman" w:cs="Times New Roman"/>
          <w:b/>
          <w:bCs/>
          <w:color w:val="0070C0"/>
          <w:sz w:val="28"/>
          <w:szCs w:val="28"/>
        </w:rPr>
      </w:pPr>
    </w:p>
    <w:p w14:paraId="46C933A3" w14:textId="77777777" w:rsidR="00A36CBA" w:rsidRDefault="00A36CBA" w:rsidP="005761B6">
      <w:pPr>
        <w:pStyle w:val="Nagwek1"/>
        <w:rPr>
          <w:rFonts w:ascii="Times New Roman" w:hAnsi="Times New Roman" w:cs="Times New Roman"/>
          <w:b/>
          <w:bCs/>
          <w:color w:val="0070C0"/>
          <w:sz w:val="28"/>
          <w:szCs w:val="28"/>
        </w:rPr>
      </w:pPr>
    </w:p>
    <w:p w14:paraId="29BB782B" w14:textId="77777777" w:rsidR="00A36CBA" w:rsidRDefault="00A36CBA" w:rsidP="005761B6">
      <w:pPr>
        <w:pStyle w:val="Nagwek1"/>
        <w:rPr>
          <w:rFonts w:ascii="Times New Roman" w:hAnsi="Times New Roman" w:cs="Times New Roman"/>
          <w:b/>
          <w:bCs/>
          <w:color w:val="0070C0"/>
          <w:sz w:val="28"/>
          <w:szCs w:val="28"/>
        </w:rPr>
      </w:pPr>
    </w:p>
    <w:p w14:paraId="7EC77D2B" w14:textId="77777777" w:rsidR="00A36CBA" w:rsidRDefault="00A36CBA" w:rsidP="005761B6">
      <w:pPr>
        <w:pStyle w:val="Nagwek1"/>
        <w:rPr>
          <w:rFonts w:ascii="Times New Roman" w:hAnsi="Times New Roman" w:cs="Times New Roman"/>
          <w:b/>
          <w:bCs/>
          <w:color w:val="0070C0"/>
          <w:sz w:val="28"/>
          <w:szCs w:val="28"/>
        </w:rPr>
      </w:pPr>
    </w:p>
    <w:p w14:paraId="6A59B20C" w14:textId="77777777" w:rsidR="00A36CBA" w:rsidRDefault="00A36CBA" w:rsidP="005761B6">
      <w:pPr>
        <w:pStyle w:val="Nagwek1"/>
        <w:rPr>
          <w:rFonts w:ascii="Times New Roman" w:hAnsi="Times New Roman" w:cs="Times New Roman"/>
          <w:b/>
          <w:bCs/>
          <w:color w:val="0070C0"/>
          <w:sz w:val="28"/>
          <w:szCs w:val="28"/>
        </w:rPr>
      </w:pPr>
    </w:p>
    <w:p w14:paraId="26F4F741" w14:textId="77777777" w:rsidR="00A36CBA" w:rsidRDefault="00A36CBA" w:rsidP="005761B6">
      <w:pPr>
        <w:pStyle w:val="Nagwek1"/>
        <w:rPr>
          <w:rFonts w:ascii="Times New Roman" w:hAnsi="Times New Roman" w:cs="Times New Roman"/>
          <w:b/>
          <w:bCs/>
          <w:color w:val="0070C0"/>
          <w:sz w:val="28"/>
          <w:szCs w:val="28"/>
        </w:rPr>
      </w:pPr>
    </w:p>
    <w:p w14:paraId="06655E34" w14:textId="77777777" w:rsidR="00A36CBA" w:rsidRDefault="00A36CBA" w:rsidP="005761B6">
      <w:pPr>
        <w:pStyle w:val="Nagwek1"/>
        <w:rPr>
          <w:rFonts w:ascii="Times New Roman" w:hAnsi="Times New Roman" w:cs="Times New Roman"/>
          <w:b/>
          <w:bCs/>
          <w:color w:val="0070C0"/>
          <w:sz w:val="28"/>
          <w:szCs w:val="28"/>
        </w:rPr>
      </w:pPr>
    </w:p>
    <w:p w14:paraId="7C068741" w14:textId="77777777" w:rsidR="00A36CBA" w:rsidRDefault="00A36CBA" w:rsidP="005761B6">
      <w:pPr>
        <w:pStyle w:val="Nagwek1"/>
        <w:rPr>
          <w:rFonts w:ascii="Times New Roman" w:hAnsi="Times New Roman" w:cs="Times New Roman"/>
          <w:b/>
          <w:bCs/>
          <w:color w:val="0070C0"/>
          <w:sz w:val="28"/>
          <w:szCs w:val="28"/>
        </w:rPr>
      </w:pPr>
    </w:p>
    <w:p w14:paraId="3DC3919F" w14:textId="77777777" w:rsidR="00A36CBA" w:rsidRDefault="00A36CBA" w:rsidP="005761B6">
      <w:pPr>
        <w:pStyle w:val="Nagwek1"/>
        <w:rPr>
          <w:rFonts w:ascii="Times New Roman" w:hAnsi="Times New Roman" w:cs="Times New Roman"/>
          <w:b/>
          <w:bCs/>
          <w:color w:val="0070C0"/>
          <w:sz w:val="28"/>
          <w:szCs w:val="28"/>
        </w:rPr>
      </w:pPr>
    </w:p>
    <w:p w14:paraId="7962703E" w14:textId="4279CBFC" w:rsidR="00A36CBA" w:rsidRDefault="00A36CBA" w:rsidP="005761B6">
      <w:pPr>
        <w:pStyle w:val="Nagwek1"/>
        <w:rPr>
          <w:rFonts w:ascii="Times New Roman" w:hAnsi="Times New Roman" w:cs="Times New Roman"/>
          <w:b/>
          <w:bCs/>
          <w:color w:val="0070C0"/>
          <w:sz w:val="28"/>
          <w:szCs w:val="28"/>
        </w:rPr>
      </w:pPr>
    </w:p>
    <w:p w14:paraId="55935472" w14:textId="101B785A" w:rsidR="00302386" w:rsidRDefault="00302386" w:rsidP="00302386"/>
    <w:p w14:paraId="08E4CD7F" w14:textId="5EF7FF28" w:rsidR="00302386" w:rsidRDefault="00302386" w:rsidP="00302386"/>
    <w:p w14:paraId="6B04979E" w14:textId="77777777" w:rsidR="008C163B" w:rsidRPr="00302386" w:rsidRDefault="008C163B" w:rsidP="00302386"/>
    <w:p w14:paraId="6C207670" w14:textId="7CF5BFF6" w:rsidR="002E3F13" w:rsidRPr="008F6922" w:rsidRDefault="00785BE2" w:rsidP="009A4B77">
      <w:pPr>
        <w:pStyle w:val="Nagwek1"/>
        <w:numPr>
          <w:ilvl w:val="0"/>
          <w:numId w:val="123"/>
        </w:numPr>
        <w:jc w:val="both"/>
        <w:rPr>
          <w:rFonts w:ascii="Times New Roman" w:hAnsi="Times New Roman" w:cs="Times New Roman"/>
          <w:b/>
          <w:bCs/>
          <w:color w:val="0070C0"/>
          <w:sz w:val="28"/>
          <w:szCs w:val="28"/>
        </w:rPr>
      </w:pPr>
      <w:r w:rsidRPr="008F6922">
        <w:rPr>
          <w:rFonts w:ascii="Times New Roman" w:hAnsi="Times New Roman" w:cs="Times New Roman"/>
          <w:b/>
          <w:bCs/>
          <w:color w:val="0070C0"/>
          <w:sz w:val="28"/>
          <w:szCs w:val="28"/>
        </w:rPr>
        <w:lastRenderedPageBreak/>
        <w:t xml:space="preserve">Wnioski z diagnozy dla potrzeb strategii rozwoju Miasta i Gminy </w:t>
      </w:r>
      <w:r w:rsidR="008F6922">
        <w:rPr>
          <w:rFonts w:ascii="Times New Roman" w:hAnsi="Times New Roman" w:cs="Times New Roman"/>
          <w:b/>
          <w:bCs/>
          <w:color w:val="0070C0"/>
          <w:sz w:val="28"/>
          <w:szCs w:val="28"/>
        </w:rPr>
        <w:t>G</w:t>
      </w:r>
      <w:r w:rsidRPr="008F6922">
        <w:rPr>
          <w:rFonts w:ascii="Times New Roman" w:hAnsi="Times New Roman" w:cs="Times New Roman"/>
          <w:b/>
          <w:bCs/>
          <w:color w:val="0070C0"/>
          <w:sz w:val="28"/>
          <w:szCs w:val="28"/>
        </w:rPr>
        <w:t xml:space="preserve">óra </w:t>
      </w:r>
      <w:r w:rsidR="008F6922">
        <w:rPr>
          <w:rFonts w:ascii="Times New Roman" w:hAnsi="Times New Roman" w:cs="Times New Roman"/>
          <w:b/>
          <w:bCs/>
          <w:color w:val="0070C0"/>
          <w:sz w:val="28"/>
          <w:szCs w:val="28"/>
        </w:rPr>
        <w:t>K</w:t>
      </w:r>
      <w:r w:rsidRPr="008F6922">
        <w:rPr>
          <w:rFonts w:ascii="Times New Roman" w:hAnsi="Times New Roman" w:cs="Times New Roman"/>
          <w:b/>
          <w:bCs/>
          <w:color w:val="0070C0"/>
          <w:sz w:val="28"/>
          <w:szCs w:val="28"/>
        </w:rPr>
        <w:t xml:space="preserve">alwaria  </w:t>
      </w:r>
    </w:p>
    <w:p w14:paraId="267B043B" w14:textId="442C5794" w:rsidR="005761B6" w:rsidRPr="00213798" w:rsidRDefault="005761B6" w:rsidP="005761B6">
      <w:pPr>
        <w:rPr>
          <w:rFonts w:ascii="Times New Roman" w:hAnsi="Times New Roman" w:cs="Times New Roman"/>
        </w:rPr>
      </w:pPr>
    </w:p>
    <w:p w14:paraId="2A7BCD1A" w14:textId="4C54FF73" w:rsidR="00E51A70" w:rsidRPr="00717BC7" w:rsidRDefault="00E51A70" w:rsidP="00E51A70">
      <w:pPr>
        <w:spacing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Zgodnie z przyjętymi założeniami metodologicznymi przeprowadzona w roku 2021 diagnoza stanu rozwoju miasta i gminy Góra Kalwaria stanowi podstawę pozwalającą na ocenę stanu rozwoju miasta i gminy, określenie specyfiki i unikalności oraz tempa zachodzących zmian. W diagnozie ujęto zarówno  pozytywne jak i negatywne czynniki determinujące rozwój oraz kluczowe problemy rozwoju. Przeprowadzona diagnoza stanowi punkt wyjścia dla formułowania strategicznych uwarunkowań oraz identyfikowania wyzwań rozwoju. Najważniejsze, z punktu widzenia budowania Strategii, wnioski wynikające z przeprowadzonej diagnozy w podziale na obszary tematyczne zaprezentowano poniżej. </w:t>
      </w:r>
    </w:p>
    <w:p w14:paraId="380EC168" w14:textId="77777777" w:rsidR="005761B6" w:rsidRPr="00717BC7" w:rsidRDefault="005761B6" w:rsidP="005761B6">
      <w:pPr>
        <w:pStyle w:val="Nagwek1"/>
        <w:spacing w:before="0"/>
        <w:rPr>
          <w:rFonts w:ascii="Times New Roman" w:hAnsi="Times New Roman" w:cs="Times New Roman"/>
          <w:b/>
          <w:bCs/>
          <w:color w:val="auto"/>
          <w:sz w:val="24"/>
          <w:szCs w:val="24"/>
          <w:u w:val="single"/>
        </w:rPr>
      </w:pPr>
      <w:bookmarkStart w:id="0" w:name="_Toc109901012"/>
      <w:r w:rsidRPr="00717BC7">
        <w:rPr>
          <w:rFonts w:ascii="Times New Roman" w:hAnsi="Times New Roman" w:cs="Times New Roman"/>
          <w:b/>
          <w:bCs/>
          <w:color w:val="auto"/>
          <w:sz w:val="24"/>
          <w:szCs w:val="24"/>
          <w:u w:val="single"/>
        </w:rPr>
        <w:t>Uwarunkowania wynikające z położenia geograficznego, dostępność komunikacyjna i mobilność</w:t>
      </w:r>
      <w:bookmarkEnd w:id="0"/>
    </w:p>
    <w:p w14:paraId="291E9324" w14:textId="77777777" w:rsidR="005761B6" w:rsidRPr="00717BC7" w:rsidRDefault="005761B6" w:rsidP="005761B6">
      <w:pPr>
        <w:rPr>
          <w:rFonts w:ascii="Times New Roman" w:hAnsi="Times New Roman" w:cs="Times New Roman"/>
          <w:sz w:val="24"/>
          <w:szCs w:val="24"/>
          <w:u w:val="single"/>
        </w:rPr>
      </w:pPr>
    </w:p>
    <w:p w14:paraId="14FF962F"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u w:val="single"/>
        </w:rPr>
        <w:t>Położenie względem większych ośrodków miejskich;</w:t>
      </w:r>
    </w:p>
    <w:p w14:paraId="2C315534" w14:textId="77777777" w:rsidR="005761B6" w:rsidRPr="00717BC7" w:rsidRDefault="005761B6">
      <w:pPr>
        <w:pStyle w:val="Default"/>
        <w:numPr>
          <w:ilvl w:val="0"/>
          <w:numId w:val="10"/>
        </w:numPr>
        <w:spacing w:line="276" w:lineRule="auto"/>
        <w:ind w:left="426"/>
        <w:jc w:val="both"/>
        <w:rPr>
          <w:rFonts w:ascii="Times New Roman" w:hAnsi="Times New Roman" w:cs="Times New Roman"/>
          <w:color w:val="auto"/>
        </w:rPr>
      </w:pPr>
      <w:r w:rsidRPr="00717BC7">
        <w:rPr>
          <w:rFonts w:ascii="Times New Roman" w:hAnsi="Times New Roman" w:cs="Times New Roman"/>
          <w:color w:val="auto"/>
        </w:rPr>
        <w:t>Gminę Góra Kalwaria cechuje korzystna lokalizacja w obszarze metropolitalnym Warszawy. Ma ona dobre połączenia komunikacyjne zarówno w skali regionalnej jak i krajowej i międzynarodowej.</w:t>
      </w:r>
      <w:r w:rsidRPr="00717BC7">
        <w:rPr>
          <w:rFonts w:ascii="Times New Roman" w:eastAsia="Times New Roman" w:hAnsi="Times New Roman" w:cs="Times New Roman"/>
          <w:color w:val="auto"/>
          <w:lang w:eastAsia="pl-PL"/>
        </w:rPr>
        <w:t xml:space="preserve"> </w:t>
      </w:r>
      <w:r w:rsidRPr="00717BC7">
        <w:rPr>
          <w:rFonts w:ascii="Times New Roman" w:hAnsi="Times New Roman" w:cs="Times New Roman"/>
          <w:color w:val="auto"/>
        </w:rPr>
        <w:t>Na jej terenie znajduje się ważny w skali regionalnej i krajowej węzeł komunikacyjny – tworzą go drogi krajowe 50 i 79 oraz droga wojewódzka 724. Transport kolejowy zapewnia l</w:t>
      </w:r>
      <w:r w:rsidRPr="00717BC7">
        <w:rPr>
          <w:rFonts w:ascii="Times New Roman" w:eastAsia="Times New Roman" w:hAnsi="Times New Roman" w:cs="Times New Roman"/>
          <w:color w:val="auto"/>
          <w:lang w:eastAsia="pl-PL"/>
        </w:rPr>
        <w:t>inia nr 12 (Skierniewice – Łuków) umożliwiająca dogodne połączenie z całym krajem</w:t>
      </w:r>
      <w:r w:rsidRPr="00717BC7">
        <w:rPr>
          <w:rFonts w:ascii="Times New Roman" w:hAnsi="Times New Roman" w:cs="Times New Roman"/>
          <w:color w:val="auto"/>
        </w:rPr>
        <w:t>. Istotnym uwarunkowaniem rozwoju gminy jest położenie nad Wisłą – na jej terenie znajdują się dwa mosty: drogowy i kolejowy. Atutem jest także bliskość międzynarodowego lotniska zlokalizowanego w Warszawie.</w:t>
      </w:r>
      <w:r w:rsidRPr="00717BC7">
        <w:rPr>
          <w:rFonts w:ascii="Times New Roman" w:eastAsia="Times New Roman" w:hAnsi="Times New Roman" w:cs="Times New Roman"/>
          <w:color w:val="auto"/>
          <w:lang w:eastAsia="pl-PL"/>
        </w:rPr>
        <w:t xml:space="preserve"> Można więc stwierdzić, iż pod względem położenia geograficznego i dostępności komunikacyjnej Góra Kalwaria stanowi atrakcyjne miejsce dla mieszkańców i inwestorów</w:t>
      </w:r>
      <w:r w:rsidRPr="00717BC7">
        <w:rPr>
          <w:rFonts w:ascii="Times New Roman" w:hAnsi="Times New Roman" w:cs="Times New Roman"/>
          <w:color w:val="auto"/>
        </w:rPr>
        <w:t>;</w:t>
      </w:r>
    </w:p>
    <w:p w14:paraId="7B9E7458" w14:textId="77777777" w:rsidR="005761B6" w:rsidRPr="00717BC7" w:rsidRDefault="005761B6">
      <w:pPr>
        <w:pStyle w:val="Default"/>
        <w:numPr>
          <w:ilvl w:val="0"/>
          <w:numId w:val="10"/>
        </w:numPr>
        <w:spacing w:line="276" w:lineRule="auto"/>
        <w:ind w:left="426"/>
        <w:jc w:val="both"/>
        <w:rPr>
          <w:rFonts w:ascii="Times New Roman" w:hAnsi="Times New Roman" w:cs="Times New Roman"/>
          <w:color w:val="auto"/>
        </w:rPr>
      </w:pPr>
      <w:r w:rsidRPr="00717BC7">
        <w:rPr>
          <w:rFonts w:ascii="Times New Roman" w:hAnsi="Times New Roman" w:cs="Times New Roman"/>
          <w:color w:val="auto"/>
        </w:rPr>
        <w:t>Korzystnie ukształtowana jest struktura funkcjonalno-przestrzenna gminy – część północna ma charakter przemysłowo-usługowy, w części centralnej przeważają funkcje mieszkaniowe i administracyjno-usługowe, a w południowej funkcje rolnicze, w tym sadownictwo, ogrodnictwo i lasy. Taka struktura funkcjonalno-przestrzenna daje wiele możliwości rozwoju m.in. w zakresie lokalizacji przemysłu, usług, administracji, mieszkalnictwa, wyspecjalizowanych rodzajów produkcji rolnej, w szczególności sadownictwa itp. Posiada także znaczny potencjał turystyczny z uwagi na walory przyrodnicze oraz bogatą przeszłość historyczną wynikającą również z jej położenia.</w:t>
      </w:r>
    </w:p>
    <w:p w14:paraId="08E2469D" w14:textId="77777777" w:rsidR="005761B6" w:rsidRPr="00717BC7" w:rsidRDefault="005761B6" w:rsidP="005761B6">
      <w:pPr>
        <w:pStyle w:val="Default"/>
        <w:spacing w:line="276" w:lineRule="auto"/>
        <w:ind w:left="426"/>
        <w:jc w:val="both"/>
        <w:rPr>
          <w:rFonts w:ascii="Times New Roman" w:hAnsi="Times New Roman" w:cs="Times New Roman"/>
          <w:color w:val="auto"/>
        </w:rPr>
      </w:pPr>
    </w:p>
    <w:p w14:paraId="6BBBA536"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u w:val="single"/>
        </w:rPr>
        <w:t>Ukształtowanie terenu;</w:t>
      </w:r>
    </w:p>
    <w:p w14:paraId="18BE00F4" w14:textId="77777777" w:rsidR="005761B6" w:rsidRPr="00717BC7" w:rsidRDefault="005761B6">
      <w:pPr>
        <w:pStyle w:val="Default"/>
        <w:numPr>
          <w:ilvl w:val="0"/>
          <w:numId w:val="11"/>
        </w:numPr>
        <w:spacing w:line="276" w:lineRule="auto"/>
        <w:jc w:val="both"/>
        <w:rPr>
          <w:rFonts w:ascii="Times New Roman" w:hAnsi="Times New Roman" w:cs="Times New Roman"/>
          <w:color w:val="auto"/>
        </w:rPr>
      </w:pPr>
      <w:r w:rsidRPr="00717BC7">
        <w:rPr>
          <w:rFonts w:ascii="Times New Roman" w:hAnsi="Times New Roman" w:cs="Times New Roman"/>
          <w:bCs/>
          <w:color w:val="auto"/>
        </w:rPr>
        <w:t xml:space="preserve">Gminę Góra Kalwaria cechuje zróżnicowane ukształtowanie terenu, m.in. dzięki </w:t>
      </w:r>
      <w:r w:rsidRPr="00717BC7">
        <w:rPr>
          <w:rFonts w:ascii="Times New Roman" w:eastAsia="ArialMT" w:hAnsi="Times New Roman" w:cs="Times New Roman"/>
          <w:color w:val="auto"/>
        </w:rPr>
        <w:t xml:space="preserve">położeniu na terenie dwóch mezoregionów fizycznogeograficznych: Równiny Warszawskiej oraz Doliny Środkowej Wisły tworzy atrakcyjne warunki dla rozwoju społeczno-gospodarczego. </w:t>
      </w:r>
    </w:p>
    <w:p w14:paraId="4C375FB1" w14:textId="77777777" w:rsidR="005761B6" w:rsidRPr="00717BC7" w:rsidRDefault="005761B6" w:rsidP="005761B6">
      <w:pPr>
        <w:pStyle w:val="Nagwek2"/>
        <w:spacing w:before="0"/>
        <w:rPr>
          <w:rFonts w:ascii="Times New Roman" w:hAnsi="Times New Roman" w:cs="Times New Roman"/>
          <w:b/>
          <w:color w:val="auto"/>
          <w:sz w:val="24"/>
          <w:szCs w:val="24"/>
        </w:rPr>
      </w:pPr>
    </w:p>
    <w:p w14:paraId="035ED4FB"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rPr>
        <w:t xml:space="preserve"> </w:t>
      </w:r>
      <w:r w:rsidRPr="00717BC7">
        <w:rPr>
          <w:rFonts w:ascii="Times New Roman" w:hAnsi="Times New Roman" w:cs="Times New Roman"/>
          <w:sz w:val="24"/>
          <w:szCs w:val="24"/>
          <w:u w:val="single"/>
        </w:rPr>
        <w:t>Bogactwa naturalne, możliwości ich eksploatacji i wykorzystania;</w:t>
      </w:r>
    </w:p>
    <w:p w14:paraId="681D6631" w14:textId="77777777" w:rsidR="005761B6" w:rsidRPr="00717BC7" w:rsidRDefault="005761B6">
      <w:pPr>
        <w:pStyle w:val="Akapitzlist"/>
        <w:numPr>
          <w:ilvl w:val="0"/>
          <w:numId w:val="11"/>
        </w:numPr>
        <w:autoSpaceDE w:val="0"/>
        <w:autoSpaceDN w:val="0"/>
        <w:adjustRightInd w:val="0"/>
        <w:spacing w:after="0" w:line="276" w:lineRule="auto"/>
        <w:jc w:val="both"/>
        <w:rPr>
          <w:rFonts w:ascii="Times New Roman" w:eastAsia="ArialMT" w:hAnsi="Times New Roman" w:cs="Times New Roman"/>
          <w:sz w:val="24"/>
          <w:szCs w:val="24"/>
        </w:rPr>
      </w:pPr>
      <w:r w:rsidRPr="00717BC7">
        <w:rPr>
          <w:rFonts w:ascii="Times New Roman" w:eastAsia="ArialMT" w:hAnsi="Times New Roman" w:cs="Times New Roman"/>
          <w:sz w:val="24"/>
          <w:szCs w:val="24"/>
        </w:rPr>
        <w:lastRenderedPageBreak/>
        <w:t>Na terenie Gminy Góra Kalwaria nie są zlokalizowane złoża kruszyw naturalnych</w:t>
      </w:r>
      <w:r w:rsidRPr="00717BC7">
        <w:rPr>
          <w:rFonts w:ascii="Times New Roman" w:hAnsi="Times New Roman" w:cs="Times New Roman"/>
          <w:bCs/>
          <w:sz w:val="24"/>
          <w:szCs w:val="24"/>
        </w:rPr>
        <w:t xml:space="preserve"> Występują tu</w:t>
      </w:r>
      <w:r w:rsidRPr="00717BC7">
        <w:rPr>
          <w:rFonts w:ascii="Times New Roman" w:eastAsia="ArialMT" w:hAnsi="Times New Roman" w:cs="Times New Roman"/>
          <w:sz w:val="24"/>
          <w:szCs w:val="24"/>
        </w:rPr>
        <w:t xml:space="preserve"> żwiry, piaski, głazy i gliny moren czołowych, gliny zwałowe, ich zwietrzeliny oraz piaski i żwiry lodowcowe.</w:t>
      </w:r>
    </w:p>
    <w:p w14:paraId="4AE64ACE" w14:textId="77777777" w:rsidR="005761B6" w:rsidRPr="00717BC7" w:rsidRDefault="005761B6" w:rsidP="005761B6">
      <w:pPr>
        <w:autoSpaceDE w:val="0"/>
        <w:autoSpaceDN w:val="0"/>
        <w:adjustRightInd w:val="0"/>
        <w:spacing w:after="0"/>
        <w:jc w:val="both"/>
        <w:rPr>
          <w:rFonts w:ascii="Times New Roman" w:eastAsia="ArialMT" w:hAnsi="Times New Roman" w:cs="Times New Roman"/>
          <w:sz w:val="24"/>
          <w:szCs w:val="24"/>
        </w:rPr>
      </w:pPr>
    </w:p>
    <w:p w14:paraId="7FD094FA"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u w:val="single"/>
        </w:rPr>
        <w:t>Wewnętrzna i zewnętrzna dostępność komunikacyjna (drogowa, rowerowa, kolejowa, lotnicza itp.);</w:t>
      </w:r>
    </w:p>
    <w:p w14:paraId="7FF03A58" w14:textId="77777777" w:rsidR="005761B6" w:rsidRPr="00717BC7" w:rsidRDefault="005761B6">
      <w:pPr>
        <w:pStyle w:val="Akapitzlist"/>
        <w:numPr>
          <w:ilvl w:val="0"/>
          <w:numId w:val="1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Gmina Góra Kalwaria jest dobrze skomunikowana z otoczeniem w zakresie komunikacji samochodowej i kolejowej. System zbiorowej komunikacji bazuje na drogowym transporcie publicznym zapewniając połączenia z Warszawą, pobliskimi Piasecznem, Konstancinem - Jeziorną oraz między miastem Góra Kalwaria a miejscowościami gminy. Ze względu na zmienność uwarunkowań system ten wymaga szczególnej aktywności organizacyjnej gminy. Komunikacja kolejowa ma ograniczony zasięg. Zapewnia bezpośrednie połączenia z Warszawą. Szansą dla mieszkańców są modernizacje linii radomskiej oraz linii Skierniewice - Łuków, które znacznie poprawią warunki ruchu dla pociągów regionalnych w relacjach pomiędzy Warszawą a Górą Kalwarią / Czachówkiem;</w:t>
      </w:r>
    </w:p>
    <w:p w14:paraId="3DFB482A" w14:textId="77777777" w:rsidR="005761B6" w:rsidRPr="00717BC7" w:rsidRDefault="005761B6">
      <w:pPr>
        <w:pStyle w:val="Akapitzlist"/>
        <w:numPr>
          <w:ilvl w:val="0"/>
          <w:numId w:val="1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Warunkiem tego jest jednak wydłużenie połączeń kolejowych bezpośrednio do Góry Kalwarii. Połączenia z lotniskiem Chopina w Warszawie zapewniają drogi krajowe oraz kolej. Szansę rozwoju w zakresie transportu wodnego daje istniejący, a obecnie niewykorzystywany komunikacyjnie port rzeczny, zlokalizowany w odległości ok. 1 km od rynku miejskiego. </w:t>
      </w:r>
    </w:p>
    <w:p w14:paraId="6C0C5962" w14:textId="77777777" w:rsidR="005761B6" w:rsidRPr="00717BC7" w:rsidRDefault="005761B6">
      <w:pPr>
        <w:pStyle w:val="Akapitzlist"/>
        <w:numPr>
          <w:ilvl w:val="0"/>
          <w:numId w:val="1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Ze względu na charakter gminy oraz skalę wielkości miasta Góra Kalwaria - bardzo istotną rolę w przemieszczaniu się pełni komunikacja piesza oraz rowerowa. Dotyczy to w szczególności centrum miasta, gdzie większość celów podróży: miejsca zamieszkania, praca, usługi, edukacja, rekreacja możliwa jest do osiągnięcia pieszo. Jednak istniejąca infrastruktura w wielu miejscach, szczególnie w rejonach na zachód od centrum miasta, ogranicza możliwości poruszania się pieszo, Na średnich dystansach, szczególnie w miejscowościach poza miastem, efektywnym sposobem poruszania się jest popularna wśród mieszkańców komunikacja rowerowa wymagająca przy istniejących potrzebach dalszej rozbudowy infrastruktury. Dotyczy to zarówno codziennych podróży jak i tras turystycznych. </w:t>
      </w:r>
    </w:p>
    <w:p w14:paraId="30CDF48C" w14:textId="77777777" w:rsidR="005761B6" w:rsidRPr="00717BC7" w:rsidRDefault="005761B6" w:rsidP="005761B6">
      <w:pPr>
        <w:pStyle w:val="Nagwek2"/>
        <w:spacing w:before="0"/>
        <w:rPr>
          <w:rFonts w:ascii="Times New Roman" w:hAnsi="Times New Roman" w:cs="Times New Roman"/>
          <w:b/>
          <w:color w:val="auto"/>
          <w:sz w:val="24"/>
          <w:szCs w:val="24"/>
        </w:rPr>
      </w:pPr>
    </w:p>
    <w:p w14:paraId="682B60B8"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Plany inwestycyjne w odniesieniu do sieci transportowej określone na szczeblu centralnym;</w:t>
      </w:r>
    </w:p>
    <w:p w14:paraId="632A6615" w14:textId="77777777" w:rsidR="005761B6" w:rsidRPr="00717BC7" w:rsidRDefault="005761B6" w:rsidP="005761B6">
      <w:pPr>
        <w:pStyle w:val="Akapitzlist"/>
        <w:numPr>
          <w:ilvl w:val="0"/>
          <w:numId w:val="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t xml:space="preserve">Wśród zadań rządowych, dotyczących realizacji inwestycji celu publicznego o znaczeniu ponadlokalnym, przewidzianych do realizacji na terenie miasta i gminy Góra Kalwaria, znajdują się: </w:t>
      </w:r>
    </w:p>
    <w:p w14:paraId="6C9B1B67" w14:textId="77777777" w:rsidR="005761B6" w:rsidRPr="00717BC7" w:rsidRDefault="005761B6">
      <w:pPr>
        <w:pStyle w:val="Akapitzlist"/>
        <w:numPr>
          <w:ilvl w:val="0"/>
          <w:numId w:val="3"/>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obwodnica miasta Góra Kalwaria w ciągu drogi krajowej nr 50; </w:t>
      </w:r>
    </w:p>
    <w:p w14:paraId="15772E37" w14:textId="77777777" w:rsidR="005761B6" w:rsidRPr="00717BC7" w:rsidRDefault="005761B6">
      <w:pPr>
        <w:pStyle w:val="Akapitzlist"/>
        <w:numPr>
          <w:ilvl w:val="0"/>
          <w:numId w:val="3"/>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modernizacja i przebudowa drogi krajowej nr 79 oraz budowa obwodnicy miasta Góra Kalwaria na przebiegu tej drogi (środki finansowe zarezerwowano w budżecie Województwa Mazowieckiego); </w:t>
      </w:r>
    </w:p>
    <w:p w14:paraId="1834A7C2" w14:textId="77777777" w:rsidR="005761B6" w:rsidRPr="00717BC7" w:rsidRDefault="005761B6">
      <w:pPr>
        <w:pStyle w:val="Akapitzlist"/>
        <w:numPr>
          <w:ilvl w:val="0"/>
          <w:numId w:val="3"/>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modernizacja i przebudowa drogi wojewódzkiej nr 724 z budową obejścia miasta Góra Kalwaria; </w:t>
      </w:r>
    </w:p>
    <w:p w14:paraId="371484A9" w14:textId="77777777" w:rsidR="005761B6" w:rsidRPr="00717BC7" w:rsidRDefault="005761B6" w:rsidP="005761B6">
      <w:pPr>
        <w:pStyle w:val="Akapitzlist"/>
        <w:numPr>
          <w:ilvl w:val="0"/>
          <w:numId w:val="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t xml:space="preserve">Marszałek Województwa Mazowieckiego oraz Wojewoda nie zgłosili potrzeby rezerwowania terenu pod żadne inwestycje celu publicznego o znaczeniu ponadlokalnym. </w:t>
      </w:r>
    </w:p>
    <w:p w14:paraId="2932104D" w14:textId="77777777" w:rsidR="005761B6" w:rsidRPr="00717BC7" w:rsidRDefault="005761B6" w:rsidP="005761B6">
      <w:pPr>
        <w:pStyle w:val="Akapitzlist"/>
        <w:numPr>
          <w:ilvl w:val="0"/>
          <w:numId w:val="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lastRenderedPageBreak/>
        <w:t xml:space="preserve">W Planie Zagospodarowania Przestrzennego Województwa Mazowieckiego wprowadzono ustalenia, dotyczące realizacji inwestycji celu publicznego o znaczeniu ponadlokalnym: </w:t>
      </w:r>
    </w:p>
    <w:p w14:paraId="00A829B3" w14:textId="77777777" w:rsidR="005761B6" w:rsidRPr="00717BC7" w:rsidRDefault="005761B6">
      <w:pPr>
        <w:pStyle w:val="Akapitzlist"/>
        <w:numPr>
          <w:ilvl w:val="0"/>
          <w:numId w:val="4"/>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ciąg drogi wojewódzkiej nr 50 ma stanowić fragment „Dużej Obwodnicy Warszawy” w paśmie ośrodków miejskich: Góra Kalwaria, Grójec, Solec, Wyszogród, Wyszków, Mińsk Mazowiecki, z przyszłościowym ujednoliceniem klasy dróg do GP (głównej ruchu przyspieszonego); </w:t>
      </w:r>
    </w:p>
    <w:p w14:paraId="4E5475B1" w14:textId="77777777" w:rsidR="005761B6" w:rsidRPr="00717BC7" w:rsidRDefault="005761B6">
      <w:pPr>
        <w:pStyle w:val="Akapitzlist"/>
        <w:numPr>
          <w:ilvl w:val="0"/>
          <w:numId w:val="4"/>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istniejąca linia kolejowa ma stanowić część obwodnicy towarowej na odcinku Łowicz – Skierniewice – Łuków, europejskiego korytarza transportowego (KII) na linii: Berlin – Kunowice – Warszawa – Terespol; </w:t>
      </w:r>
    </w:p>
    <w:p w14:paraId="1933F3F3" w14:textId="77777777" w:rsidR="005761B6" w:rsidRPr="00717BC7" w:rsidRDefault="005761B6">
      <w:pPr>
        <w:pStyle w:val="Akapitzlist"/>
        <w:numPr>
          <w:ilvl w:val="0"/>
          <w:numId w:val="4"/>
        </w:numPr>
        <w:autoSpaceDE w:val="0"/>
        <w:autoSpaceDN w:val="0"/>
        <w:adjustRightInd w:val="0"/>
        <w:spacing w:after="0" w:line="276" w:lineRule="auto"/>
        <w:jc w:val="both"/>
        <w:rPr>
          <w:rFonts w:ascii="Times New Roman" w:hAnsi="Times New Roman" w:cs="Times New Roman"/>
          <w:iCs/>
          <w:sz w:val="24"/>
          <w:szCs w:val="24"/>
        </w:rPr>
      </w:pPr>
      <w:r w:rsidRPr="00717BC7">
        <w:rPr>
          <w:rFonts w:ascii="Times New Roman" w:hAnsi="Times New Roman" w:cs="Times New Roman"/>
          <w:iCs/>
          <w:sz w:val="24"/>
          <w:szCs w:val="24"/>
        </w:rPr>
        <w:t xml:space="preserve">wskazanie korytarza dla południowego autostradowego obejścia Warszawy w rejonie Góry Kalwarii. Propozycja ta nie znajduje jednak bezpośredniego odniesienia w dokumentach rządowych….” </w:t>
      </w:r>
    </w:p>
    <w:p w14:paraId="79227EC0" w14:textId="77777777" w:rsidR="005761B6" w:rsidRPr="00717BC7" w:rsidRDefault="005761B6" w:rsidP="005761B6">
      <w:pPr>
        <w:rPr>
          <w:rFonts w:ascii="Times New Roman" w:hAnsi="Times New Roman" w:cs="Times New Roman"/>
          <w:sz w:val="24"/>
          <w:szCs w:val="24"/>
        </w:rPr>
      </w:pPr>
    </w:p>
    <w:p w14:paraId="3B6584E9" w14:textId="77777777" w:rsidR="005761B6" w:rsidRPr="00717BC7" w:rsidRDefault="005761B6" w:rsidP="005761B6">
      <w:pPr>
        <w:rPr>
          <w:rFonts w:ascii="Times New Roman" w:hAnsi="Times New Roman" w:cs="Times New Roman"/>
          <w:b/>
          <w:bCs/>
          <w:sz w:val="24"/>
          <w:szCs w:val="24"/>
          <w:u w:val="single"/>
        </w:rPr>
      </w:pPr>
      <w:r w:rsidRPr="00717BC7">
        <w:rPr>
          <w:rFonts w:ascii="Times New Roman" w:hAnsi="Times New Roman" w:cs="Times New Roman"/>
          <w:sz w:val="24"/>
          <w:szCs w:val="24"/>
          <w:u w:val="single"/>
        </w:rPr>
        <w:t>Powiązania funkcjonalne;</w:t>
      </w:r>
    </w:p>
    <w:p w14:paraId="40A8AD8B" w14:textId="77777777" w:rsidR="005761B6" w:rsidRPr="00717BC7" w:rsidRDefault="005761B6">
      <w:pPr>
        <w:pStyle w:val="Akapitzlist"/>
        <w:numPr>
          <w:ilvl w:val="0"/>
          <w:numId w:val="40"/>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ujęciu przestrzennym, ze względu na swe położenie geograficzne i profil społeczno-gospodarczy, gmina Góra Kalwaria funkcjonuje w sieci powiązań wewnętrznych (wewnątrzgminnych) oraz zewnętrznych (na poziomie międzynarodowym, wewnątrzkrajowym, wewnątrzwojewódzkim oraz wewnątrzpowiatowym). Powiązania te można, dla uporządkowania analizy, podzielić na:</w:t>
      </w:r>
    </w:p>
    <w:p w14:paraId="2216919A" w14:textId="77777777" w:rsidR="005761B6" w:rsidRPr="00717BC7" w:rsidRDefault="005761B6">
      <w:pPr>
        <w:pStyle w:val="Akapitzlist"/>
        <w:numPr>
          <w:ilvl w:val="0"/>
          <w:numId w:val="4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instytucjonalno-administracyjne – wynikają one z faktu, iż gmina miejska Góra Kalwaria leży na obszarze powiatu piaseczyńskiego, w województwie mazowieckim, ok. 20 km od granic Warszawy, zaliczana jest do tzw. Obszaru Metropolitalnego Warszawy;</w:t>
      </w:r>
    </w:p>
    <w:p w14:paraId="56DC8E32" w14:textId="77777777" w:rsidR="005761B6" w:rsidRPr="00717BC7" w:rsidRDefault="005761B6">
      <w:pPr>
        <w:pStyle w:val="Akapitzlist"/>
        <w:numPr>
          <w:ilvl w:val="0"/>
          <w:numId w:val="4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funkcjonalno-przestrzenne (w tym infrastrukturalne) – wynikają one z położenia na obszarze tzw. Obszaru Metropolitalnego Warszawy tj. obszaru o takim stopniu i formach zainwestowania, iż określone formy zagospodarowania przestrzennego, w tym infrastruktury technicznej i społecznej oraz środowiska naturalnego tworzą system oddziaływań wykraczający poza granice poszczególnych jednostek podstawowego podziału administracyjnego. Wymienić tu można powiązania siecią transportową (drogową, kolejową), pasma rozwoju industrializacji i urbanizacji, strefy ochrony i zagospodarowania środowiska naturalnego itp.;</w:t>
      </w:r>
    </w:p>
    <w:p w14:paraId="6647F86B" w14:textId="77777777" w:rsidR="005761B6" w:rsidRPr="00717BC7" w:rsidRDefault="005761B6">
      <w:pPr>
        <w:pStyle w:val="Akapitzlist"/>
        <w:numPr>
          <w:ilvl w:val="0"/>
          <w:numId w:val="4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gospodarcze – bazę ekonomiczną gminy Góra Kalwaria tworzą relatywnie silnie rozwinięte branże takich sekcji jak.: przetwórstwo przemysłowe (spożywcza, chemiczna, farmaceutyczna, elektrotechniczna), budownictwo, transport i gospodarka magazynowa oraz szeroko rozumiane usługi. Skala działalności w tych działach wykracza poza potrzeby rynku lokalnego, a nawet regionalnego. Dobrze wykształcona specjalizacja sadowniczo-ogrodnicza ok. połowy funkcjonujących na obszarze gminy gospodarstw rolnych funkcjonuje w powiązaniu z rynkiem regionalnym, krajowym i międzynarodowym;</w:t>
      </w:r>
    </w:p>
    <w:p w14:paraId="7211FC0E" w14:textId="77777777" w:rsidR="005761B6" w:rsidRPr="00717BC7" w:rsidRDefault="005761B6">
      <w:pPr>
        <w:pStyle w:val="Akapitzlist"/>
        <w:numPr>
          <w:ilvl w:val="0"/>
          <w:numId w:val="41"/>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społeczne – położenie gminy na obszarze OMW, w odległości ok. 20 km od granic stolicy, jest równoznaczne z istnieniem bardzo silnych powiązań funkcjonalnych o charakterze społecznym nie tylko z bezpośrednim otoczeniem, ale przede wszystkim z </w:t>
      </w:r>
      <w:r w:rsidRPr="00717BC7">
        <w:rPr>
          <w:rFonts w:ascii="Times New Roman" w:hAnsi="Times New Roman" w:cs="Times New Roman"/>
          <w:sz w:val="24"/>
          <w:szCs w:val="24"/>
        </w:rPr>
        <w:lastRenderedPageBreak/>
        <w:t>miastem Warszawą; wskazać tu należy dojazdy do pracy, dojazdy do wyspecjalizowanych usług w Stolicy, przejazdowy i pobytowy ruch rekreacyjno-turystyczny itp.</w:t>
      </w:r>
    </w:p>
    <w:p w14:paraId="36FFA776" w14:textId="77777777" w:rsidR="005761B6" w:rsidRPr="00717BC7" w:rsidRDefault="005761B6" w:rsidP="005761B6">
      <w:pPr>
        <w:spacing w:after="0"/>
        <w:ind w:left="426"/>
        <w:jc w:val="both"/>
        <w:rPr>
          <w:rFonts w:ascii="Times New Roman" w:hAnsi="Times New Roman" w:cs="Times New Roman"/>
          <w:sz w:val="24"/>
          <w:szCs w:val="24"/>
        </w:rPr>
      </w:pPr>
    </w:p>
    <w:p w14:paraId="08C835CF"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Mobilność, transport zbiorowy;</w:t>
      </w:r>
    </w:p>
    <w:p w14:paraId="03C4F4CF" w14:textId="77777777" w:rsidR="005761B6" w:rsidRPr="00717BC7" w:rsidRDefault="005761B6">
      <w:pPr>
        <w:pStyle w:val="Akapitzlist"/>
        <w:numPr>
          <w:ilvl w:val="0"/>
          <w:numId w:val="12"/>
        </w:numPr>
        <w:shd w:val="clear" w:color="auto" w:fill="FFFFFF"/>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Gmina, w zdecydowanej większości przypadków, stara się pełnić rolę regulatora, a nie bezpośredniego usługodawcy w zakresie zapewnienia mobilności przestrzennej mieszkańców, w szczególności w sferze komunikacyjnej obsługi ludności gminy;</w:t>
      </w:r>
    </w:p>
    <w:p w14:paraId="35F05BED" w14:textId="77777777" w:rsidR="005761B6" w:rsidRPr="00717BC7" w:rsidRDefault="005761B6">
      <w:pPr>
        <w:pStyle w:val="Akapitzlist"/>
        <w:numPr>
          <w:ilvl w:val="0"/>
          <w:numId w:val="12"/>
        </w:numPr>
        <w:shd w:val="clear" w:color="auto" w:fill="FFFFFF"/>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Ze względu na czasowy charakter zawieranych umów z usługodawcami odnośne agendy urzędu gminy w zakresie lokalnych potrzeb komunikacyjnych prowadzą stale analizy popytu i podaży, realizują badania i gromadzą informacje o rynku usługodawców, poszukują także nowych ofert oraz prowadzą negocjacje z potencjalnymi usługodawcami, monitorują także realizację zawartych kontraktów. Stałym elementem tych działań są analizy kosztów wynikających z ww. procedur;</w:t>
      </w:r>
    </w:p>
    <w:p w14:paraId="61036BD0" w14:textId="77777777" w:rsidR="005761B6" w:rsidRPr="00717BC7" w:rsidRDefault="005761B6">
      <w:pPr>
        <w:pStyle w:val="Akapitzlist"/>
        <w:numPr>
          <w:ilvl w:val="0"/>
          <w:numId w:val="12"/>
        </w:numPr>
        <w:shd w:val="clear" w:color="auto" w:fill="FFFFFF"/>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Nie wszystkie obszary gminy są w stopniu zadawalającym obsługiwane przez lokalne linie autobusowe i konieczne jest prowadzenie dalszych działań na rzecz rozwoju sieci komunikacji publicznej, które ze względu na ograniczenia finansowe gminy opóźniają ich wdrożenie</w:t>
      </w:r>
    </w:p>
    <w:p w14:paraId="5B4BE6CC"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09E210F4"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Zasięg sieci, dostępność i jakość Internetu;</w:t>
      </w:r>
    </w:p>
    <w:p w14:paraId="40B1293F" w14:textId="77777777" w:rsidR="005761B6" w:rsidRPr="00717BC7" w:rsidRDefault="005761B6">
      <w:pPr>
        <w:pStyle w:val="Akapitzlist"/>
        <w:numPr>
          <w:ilvl w:val="0"/>
          <w:numId w:val="13"/>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Z informacji dotyczących zasięgu sieci telefonii komórkowej wynika, iż na terenie całej gminy Góra Kalwaria istnieje dostęp do usług telefonii komórkowej, w tym internetu bezprzewodowego. Poza tym w mieście Góra Kalwaria funkcjonują operatorzy oferujący dostęp do internetu „stacjonarnego” czyli kablowego;</w:t>
      </w:r>
    </w:p>
    <w:p w14:paraId="67883019" w14:textId="77777777" w:rsidR="005761B6" w:rsidRPr="00717BC7" w:rsidRDefault="005761B6">
      <w:pPr>
        <w:pStyle w:val="Akapitzlist"/>
        <w:numPr>
          <w:ilvl w:val="0"/>
          <w:numId w:val="13"/>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Kolejne generacje technologii przesyłu sygnału tj. 3G, 4G i wreszcie 5G prowadzą do znacznego zmniejszenia różnic między wydajnością internetu bezprzewodowego i stacjonarnego – wymagają od operatorów sieci stałych działań inwestycyjno-modernizacyjnych. </w:t>
      </w:r>
    </w:p>
    <w:p w14:paraId="6EAA2398" w14:textId="77777777" w:rsidR="005761B6" w:rsidRPr="00717BC7" w:rsidRDefault="005761B6" w:rsidP="005761B6">
      <w:pPr>
        <w:spacing w:after="0"/>
        <w:jc w:val="both"/>
        <w:rPr>
          <w:rFonts w:ascii="Times New Roman" w:hAnsi="Times New Roman" w:cs="Times New Roman"/>
          <w:sz w:val="24"/>
          <w:szCs w:val="24"/>
        </w:rPr>
      </w:pPr>
    </w:p>
    <w:p w14:paraId="1024695F" w14:textId="661C0E75"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 w:name="_Toc109901013"/>
      <w:r w:rsidRPr="00717BC7">
        <w:rPr>
          <w:rFonts w:ascii="Times New Roman" w:hAnsi="Times New Roman" w:cs="Times New Roman"/>
          <w:b/>
          <w:bCs/>
          <w:color w:val="auto"/>
          <w:sz w:val="24"/>
          <w:szCs w:val="24"/>
          <w:u w:val="single"/>
        </w:rPr>
        <w:t>Ludność i procesy demograficzne</w:t>
      </w:r>
      <w:bookmarkEnd w:id="1"/>
    </w:p>
    <w:p w14:paraId="5FEB0B65" w14:textId="77777777" w:rsidR="005761B6" w:rsidRPr="00717BC7" w:rsidRDefault="005761B6" w:rsidP="005761B6">
      <w:pPr>
        <w:pStyle w:val="Nagwek2"/>
        <w:spacing w:before="0"/>
        <w:rPr>
          <w:rFonts w:ascii="Times New Roman" w:hAnsi="Times New Roman" w:cs="Times New Roman"/>
          <w:b/>
          <w:color w:val="auto"/>
          <w:sz w:val="24"/>
          <w:szCs w:val="24"/>
        </w:rPr>
      </w:pPr>
    </w:p>
    <w:p w14:paraId="57211022"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u w:val="single"/>
        </w:rPr>
        <w:t>Liczba ludności, migracje i przyrost naturalny;</w:t>
      </w:r>
    </w:p>
    <w:p w14:paraId="2A74DE84" w14:textId="77777777" w:rsidR="005761B6" w:rsidRPr="00717BC7" w:rsidRDefault="005761B6">
      <w:pPr>
        <w:pStyle w:val="Akapitzlist"/>
        <w:numPr>
          <w:ilvl w:val="0"/>
          <w:numId w:val="14"/>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Tak miasto jak i obszary wiejskie w gminie miejsko-wiejskiej Góra Kalwaria można zaliczyć do nielicznej, w skali kraju, grupy jednostek administracyjnych w znaczącym stopniu zwiększających liczbę mieszkańców. Odpowiednio w 2015 r. i 2020 r. mieszkało w mieście 11,8 tys. oraz 12,0 tys. mieszkańców, zaś na obszarach wiejskich 14,4 oraz 15,1 tys. osób. Obie części gminy zwiększyły liczbę mieszkańców: miasto o 1,5%, a obszary wiejskie o 4,4% - w sumie liczba mieszkańców całej gminy wzrosła o 3,0%;</w:t>
      </w:r>
    </w:p>
    <w:p w14:paraId="60893296" w14:textId="77777777" w:rsidR="005761B6" w:rsidRPr="00717BC7" w:rsidRDefault="005761B6">
      <w:pPr>
        <w:pStyle w:val="Akapitzlist"/>
        <w:numPr>
          <w:ilvl w:val="0"/>
          <w:numId w:val="14"/>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Wyraźnie większy przyrost ludności wsi niż miasta spowodował, iż udział miasta w ogólnej liczbie mieszkańców gminy Góra Kalwaria zmniejszył się w omawianym okresie z 45,0% do 44,3%;</w:t>
      </w:r>
    </w:p>
    <w:p w14:paraId="0A668D05" w14:textId="77777777" w:rsidR="005761B6" w:rsidRPr="00717BC7" w:rsidRDefault="005761B6">
      <w:pPr>
        <w:pStyle w:val="Akapitzlist"/>
        <w:numPr>
          <w:ilvl w:val="0"/>
          <w:numId w:val="14"/>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lastRenderedPageBreak/>
        <w:t xml:space="preserve">Przyrost rzeczywisty liczby ludności gminy Góra Kalwaria, był wypadkową oddziaływania ruchów migracyjnych oraz ruchu naturalnego ludności. W okresie 2015-2020 to dodatnie saldo migracji decydowało o przyroście liczby ludności tak w mieście jak i na obszarach wiejskich gminy. </w:t>
      </w:r>
    </w:p>
    <w:p w14:paraId="1B3CBB35" w14:textId="77777777" w:rsidR="005761B6" w:rsidRPr="00717BC7" w:rsidRDefault="005761B6" w:rsidP="005761B6">
      <w:pPr>
        <w:pStyle w:val="Akapitzlist"/>
        <w:autoSpaceDE w:val="0"/>
        <w:autoSpaceDN w:val="0"/>
        <w:adjustRightInd w:val="0"/>
        <w:spacing w:after="0"/>
        <w:ind w:left="360"/>
        <w:jc w:val="both"/>
        <w:rPr>
          <w:rFonts w:ascii="Times New Roman" w:hAnsi="Times New Roman" w:cs="Times New Roman"/>
          <w:sz w:val="24"/>
          <w:szCs w:val="24"/>
        </w:rPr>
      </w:pPr>
    </w:p>
    <w:p w14:paraId="03E69130" w14:textId="77777777" w:rsidR="005761B6" w:rsidRPr="00717BC7" w:rsidRDefault="005761B6" w:rsidP="005761B6">
      <w:pPr>
        <w:rPr>
          <w:rFonts w:ascii="Times New Roman" w:hAnsi="Times New Roman" w:cs="Times New Roman"/>
          <w:sz w:val="24"/>
          <w:szCs w:val="24"/>
          <w:u w:val="single"/>
        </w:rPr>
      </w:pPr>
      <w:bookmarkStart w:id="2" w:name="_Toc73010325"/>
      <w:r w:rsidRPr="00717BC7">
        <w:rPr>
          <w:rFonts w:ascii="Times New Roman" w:hAnsi="Times New Roman" w:cs="Times New Roman"/>
          <w:sz w:val="24"/>
          <w:szCs w:val="24"/>
          <w:u w:val="single"/>
        </w:rPr>
        <w:t>Ruch wędrówkowy ludności</w:t>
      </w:r>
      <w:bookmarkEnd w:id="2"/>
      <w:r w:rsidRPr="00717BC7">
        <w:rPr>
          <w:rFonts w:ascii="Times New Roman" w:hAnsi="Times New Roman" w:cs="Times New Roman"/>
          <w:sz w:val="24"/>
          <w:szCs w:val="24"/>
          <w:u w:val="single"/>
        </w:rPr>
        <w:t>;</w:t>
      </w:r>
    </w:p>
    <w:p w14:paraId="3F5C8301" w14:textId="77777777" w:rsidR="005761B6" w:rsidRPr="00717BC7" w:rsidRDefault="005761B6" w:rsidP="005761B6">
      <w:pPr>
        <w:rPr>
          <w:rFonts w:ascii="Times New Roman" w:hAnsi="Times New Roman" w:cs="Times New Roman"/>
          <w:sz w:val="24"/>
          <w:szCs w:val="24"/>
        </w:rPr>
      </w:pPr>
      <w:r w:rsidRPr="00717BC7">
        <w:rPr>
          <w:rFonts w:ascii="Times New Roman" w:hAnsi="Times New Roman" w:cs="Times New Roman"/>
          <w:sz w:val="24"/>
          <w:szCs w:val="24"/>
        </w:rPr>
        <w:t>Gmina miejsko-wiejska Góra Kalwaria jest obszarem atrakcyjnym osiedleńczo:</w:t>
      </w:r>
    </w:p>
    <w:p w14:paraId="5B1A896A" w14:textId="77777777" w:rsidR="005761B6" w:rsidRPr="00717BC7" w:rsidRDefault="005761B6">
      <w:pPr>
        <w:pStyle w:val="Akapitzlist"/>
        <w:numPr>
          <w:ilvl w:val="0"/>
          <w:numId w:val="15"/>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 przeliczeniu na 1000 mieszkańców, w całym okresie 2015-2020 miasto i część wiejska gminy Góra Kalwaria wykazywały wysoki poziom napływu ludności. Rozmiary tego ruchu (w formie zameldowań na pobyt stały) były w przypadku obu ww. obszarów wyższe od analogicznych średnich w kraju i w województwie mazowieckim; </w:t>
      </w:r>
    </w:p>
    <w:p w14:paraId="24168F5C" w14:textId="77777777" w:rsidR="005761B6" w:rsidRPr="00717BC7" w:rsidRDefault="005761B6">
      <w:pPr>
        <w:pStyle w:val="Akapitzlist"/>
        <w:numPr>
          <w:ilvl w:val="0"/>
          <w:numId w:val="15"/>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 przeliczeniu na 1000 mieszkańców w całym okresie 2015-2020 miasto i część wiejska gminy Góra Kalwaria wykazywały nasilenie odpływu ludności na poziomie zbliżonym do odnośnych średnich ogólnopolskich oraz średnich województwa mazowieckiego. Rozmiary tego ruchu (w formie wymeldowań na pobyt stały) były w przypadku miasta Góra Kalwaria nieco wyższe, a w przypadku obszarów wiejskich nieco niższe od odnośnych średnich w Polsce i województwie mazowieckim; </w:t>
      </w:r>
    </w:p>
    <w:p w14:paraId="10868CD3" w14:textId="77777777" w:rsidR="005761B6" w:rsidRPr="00717BC7" w:rsidRDefault="005761B6">
      <w:pPr>
        <w:pStyle w:val="Akapitzlist"/>
        <w:numPr>
          <w:ilvl w:val="0"/>
          <w:numId w:val="15"/>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Poziom natężenia zameldowań i wymeldowań rejestrowany w gminie Góra Kalwaria sprawia, że zarówno miasto jak i obszar wiejski gminy wykazywały w całym okresie 2015-2020 dodatnie saldo migracji ogółem, podczas gdy średnio w grupie miast w skali kraju, a niekiedy i na obszarach wiejskich województwa mazowieckiego wymeldowania przewyższały liczbę zameldowań.</w:t>
      </w:r>
    </w:p>
    <w:p w14:paraId="14D52A4F" w14:textId="77777777" w:rsidR="005761B6" w:rsidRPr="00717BC7" w:rsidRDefault="005761B6" w:rsidP="005761B6">
      <w:pPr>
        <w:pStyle w:val="Akapitzlist"/>
        <w:autoSpaceDE w:val="0"/>
        <w:autoSpaceDN w:val="0"/>
        <w:adjustRightInd w:val="0"/>
        <w:spacing w:after="0"/>
        <w:ind w:left="360"/>
        <w:jc w:val="both"/>
        <w:rPr>
          <w:rFonts w:ascii="Times New Roman" w:hAnsi="Times New Roman" w:cs="Times New Roman"/>
          <w:sz w:val="24"/>
          <w:szCs w:val="24"/>
        </w:rPr>
      </w:pPr>
    </w:p>
    <w:p w14:paraId="50C4E041" w14:textId="77777777" w:rsidR="005761B6" w:rsidRPr="00717BC7" w:rsidRDefault="005761B6" w:rsidP="005761B6">
      <w:pPr>
        <w:rPr>
          <w:rFonts w:ascii="Times New Roman" w:hAnsi="Times New Roman" w:cs="Times New Roman"/>
          <w:sz w:val="24"/>
          <w:szCs w:val="24"/>
          <w:u w:val="single"/>
        </w:rPr>
      </w:pPr>
      <w:bookmarkStart w:id="3" w:name="_Toc73010326"/>
      <w:r w:rsidRPr="00717BC7">
        <w:rPr>
          <w:rFonts w:ascii="Times New Roman" w:hAnsi="Times New Roman" w:cs="Times New Roman"/>
          <w:sz w:val="24"/>
          <w:szCs w:val="24"/>
          <w:u w:val="single"/>
        </w:rPr>
        <w:t>Ruch naturalny ludności</w:t>
      </w:r>
      <w:bookmarkEnd w:id="3"/>
      <w:r w:rsidRPr="00717BC7">
        <w:rPr>
          <w:rFonts w:ascii="Times New Roman" w:hAnsi="Times New Roman" w:cs="Times New Roman"/>
          <w:bCs/>
          <w:sz w:val="24"/>
          <w:szCs w:val="24"/>
          <w:u w:val="single"/>
        </w:rPr>
        <w:t>;</w:t>
      </w:r>
      <w:r w:rsidRPr="00717BC7">
        <w:rPr>
          <w:rFonts w:ascii="Times New Roman" w:hAnsi="Times New Roman" w:cs="Times New Roman"/>
          <w:b/>
          <w:sz w:val="24"/>
          <w:szCs w:val="24"/>
          <w:u w:val="single"/>
        </w:rPr>
        <w:t xml:space="preserve"> </w:t>
      </w:r>
    </w:p>
    <w:p w14:paraId="2BDC095D" w14:textId="77777777" w:rsidR="005761B6" w:rsidRPr="00717BC7" w:rsidRDefault="005761B6">
      <w:pPr>
        <w:pStyle w:val="Akapitzlist"/>
        <w:numPr>
          <w:ilvl w:val="0"/>
          <w:numId w:val="1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latach 2015-17 w mieście i na obszarach wiejskich zwiększał się poziom nasilenia urodzeń przewyższając odnośne średnie dla ogółu miast Polski oraz województwa mazowieckiego. Po roku 2017: nasilenie urodzeń w mieście Góra Kalwaria, a także na obszarach wiejskich gminy zmniejszyło się. Obie wielkości wykazują od dłuższego czasu zbliżony poziom i był on do 2020 r. podobny do przywoływanych tu do porównań analogicznych średnich ogólnopolskich i województwa mazowieckiego;</w:t>
      </w:r>
    </w:p>
    <w:p w14:paraId="335FEFE8" w14:textId="77777777" w:rsidR="005761B6" w:rsidRPr="00717BC7" w:rsidRDefault="005761B6">
      <w:pPr>
        <w:pStyle w:val="Akapitzlist"/>
        <w:numPr>
          <w:ilvl w:val="0"/>
          <w:numId w:val="1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Pod względem nasilenia zgonów w latach 2015-2020 w mieście Góra Kalwaria odnotowywano niepokojąco wysoki poziom zgonów – przewyższający mniej więcej 1,5- krotnie względne rozmiary tego zjawiska na obszarach wiejskich gminy. Nasilenie zgonów w mieście było większe od analogicznych średnich krajowych i województwa mazowieckiego. Sytuację tę zaostrzyła pandemia COVID-19 w 2020 r. Z kolei obszary wiejskie gminy wykazywały niższy poziom nasilenia zgonów od odnośnej średniej krajowej i wojewódzkiej; </w:t>
      </w:r>
    </w:p>
    <w:p w14:paraId="028356D3" w14:textId="77777777" w:rsidR="005761B6" w:rsidRPr="00717BC7" w:rsidRDefault="005761B6">
      <w:pPr>
        <w:pStyle w:val="Akapitzlist"/>
        <w:numPr>
          <w:ilvl w:val="0"/>
          <w:numId w:val="1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Obszary wiejskie gminy tylko w 2020 r. wykazywały ubytek naturalny ludności, tzn. liczba odnotowywanych tam zgonów przewyższała liczbę urodzeń. Rozmiary nasilenia przyrostu naturalnego były tu wyższe od odnośnych średnich ogólnopolskich oraz województwa mazowieckiego. W mieście Góra Kalwaria niemal w całym omawianym tu okresie miał </w:t>
      </w:r>
      <w:r w:rsidRPr="00717BC7">
        <w:rPr>
          <w:rFonts w:ascii="Times New Roman" w:hAnsi="Times New Roman" w:cs="Times New Roman"/>
          <w:sz w:val="24"/>
          <w:szCs w:val="24"/>
        </w:rPr>
        <w:lastRenderedPageBreak/>
        <w:t>miejsce ubytek naturalny ludności, jego nasilenie przewyższa odpowiednie średnie krajowe i województwa mazowieckiego;</w:t>
      </w:r>
    </w:p>
    <w:p w14:paraId="03A69155" w14:textId="77777777" w:rsidR="005761B6" w:rsidRPr="00717BC7" w:rsidRDefault="005761B6">
      <w:pPr>
        <w:pStyle w:val="Akapitzlist"/>
        <w:numPr>
          <w:ilvl w:val="0"/>
          <w:numId w:val="1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Pod względem ruchu naturalnego ludności inna sytuacja występuje w mieście niż na obszarach wiejskich gminy Góra Kalwaria: obszary wiejskie wykazują znaczący poziom nasilenia przyrostu naturalnego (z wyjątkiem 2020 r.), zaś miasto ubytek naturalny ludności. Ogólnie można stwierdzić, w połączeniu z saldem nasilenia ruchu wędrówkowego ludności, iż w mieście ogólny wzrost liczby mieszkańców następował w wyniku napływu ludności z zewnątrz. Obszary wiejskie gminy Góra Kalwaria zwiększały liczbę mieszkańców zarówno pod wpływem przyrostu naturalnego jak i dodatniego salda migracji, co jest współcześnie niezbyt częstym zjawiskiem w Polsce.</w:t>
      </w:r>
    </w:p>
    <w:p w14:paraId="28221198" w14:textId="77777777" w:rsidR="005761B6" w:rsidRPr="00717BC7" w:rsidRDefault="005761B6" w:rsidP="005761B6">
      <w:pPr>
        <w:pStyle w:val="Akapitzlist"/>
        <w:autoSpaceDE w:val="0"/>
        <w:autoSpaceDN w:val="0"/>
        <w:adjustRightInd w:val="0"/>
        <w:spacing w:after="0"/>
        <w:ind w:left="360"/>
        <w:jc w:val="both"/>
        <w:rPr>
          <w:rFonts w:ascii="Times New Roman" w:hAnsi="Times New Roman" w:cs="Times New Roman"/>
          <w:sz w:val="24"/>
          <w:szCs w:val="24"/>
        </w:rPr>
      </w:pPr>
    </w:p>
    <w:p w14:paraId="3E09C907"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Rozbieżność pomiędzy teoretyczną a faktyczną liczbą ludności;</w:t>
      </w:r>
    </w:p>
    <w:p w14:paraId="1871F3D0" w14:textId="77777777" w:rsidR="005761B6" w:rsidRPr="00717BC7" w:rsidRDefault="005761B6">
      <w:pPr>
        <w:pStyle w:val="Akapitzlist"/>
        <w:numPr>
          <w:ilvl w:val="0"/>
          <w:numId w:val="17"/>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Atrakcyjność położenia gminy, w tym występujące miejscowo koncentracje budownictwa ludności nowo przybyłej prowadzi do występowania rozbieżności między liczbą osób zameldowanych na stałe lub czasowo, a rzeczywistą liczbą mieszkańców gminy. Z rozbieżności między statystyczną a rzeczywistą liczbą mieszkańców wynika m.in. niekorzystana różnica liczby podatników i usługobiorców zwłaszcza w zakresie usług dotowanych lokalnie oraz trudności dostosowania podaży usług społecznych do realnego zapotrzebowania.</w:t>
      </w:r>
    </w:p>
    <w:p w14:paraId="66A341AF" w14:textId="77777777" w:rsidR="005761B6" w:rsidRPr="00717BC7" w:rsidRDefault="005761B6" w:rsidP="005761B6">
      <w:pPr>
        <w:rPr>
          <w:rFonts w:ascii="Times New Roman" w:hAnsi="Times New Roman" w:cs="Times New Roman"/>
          <w:sz w:val="24"/>
          <w:szCs w:val="24"/>
        </w:rPr>
      </w:pPr>
    </w:p>
    <w:p w14:paraId="201BCF96"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rPr>
        <w:t xml:space="preserve"> </w:t>
      </w:r>
      <w:r w:rsidRPr="00717BC7">
        <w:rPr>
          <w:rFonts w:ascii="Times New Roman" w:hAnsi="Times New Roman" w:cs="Times New Roman"/>
          <w:sz w:val="24"/>
          <w:szCs w:val="24"/>
          <w:u w:val="single"/>
        </w:rPr>
        <w:t>Struktura ludności (ekonomiczne grupy wieku), procesy starzenia się społeczeństwa;</w:t>
      </w:r>
    </w:p>
    <w:p w14:paraId="65F76E61" w14:textId="77777777" w:rsidR="005761B6" w:rsidRPr="00717BC7" w:rsidRDefault="005761B6">
      <w:pPr>
        <w:pStyle w:val="Akapitzlist"/>
        <w:numPr>
          <w:ilvl w:val="0"/>
          <w:numId w:val="17"/>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przypadku miasta Góra Kalwaria poziom feminizacji w okresie 2015-2020 był niższy niż średnio w miastach polskich oraz miastach województwa mazowieckiego. Na obszarach wiejskich gminy był on stabilny i znacząco wyższy od odnośnej średniej w Polsce i województwie mazowieckim. Świadczy to o atrakcyjności obszarów wiejskich gminy;</w:t>
      </w:r>
    </w:p>
    <w:p w14:paraId="6052649D" w14:textId="77777777" w:rsidR="005761B6" w:rsidRPr="00717BC7" w:rsidRDefault="005761B6">
      <w:pPr>
        <w:pStyle w:val="Akapitzlist"/>
        <w:numPr>
          <w:ilvl w:val="0"/>
          <w:numId w:val="17"/>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strukturze ekonomicznej w mieście Góra Kalwaria zwiększył się udział ludności w wieku przedprodukcyjnym (z 19,2% do 19,8%) oraz poprodukcyjnym (z 21,2% do 23,4%), natomiast zmniejszył się udział ludności w wieku produkcyjnym (z 59,6% do 56,7%). Na obszarach wiejskich gminy kierunek zmian struktury wiekowej ludności był podobny – zmiany te wynosiły odpowiednio: wiek przedprodukcyjny (wzrost z 19,6% do 20,0%), wiek produkcyjny (spadek z 63,8% do 61,0%), wiek poprodukcyjny (wzrost z 16,5% do 19,8%). Na obszarach wiejskich podobne tendencje uwidoczniły się w skali województwa i kraju dla wieku produkcyjnego i poprodukcyjnego, a w mieście we wszystkich analizowanych grupach. W części wiejskiej gminy Góra Kalwaria nastąpiły korzystniejsze niż porównywane średnie w skali kraju i województwa mazowieckiego zmiany w grupie przedprodukcyjnej.</w:t>
      </w:r>
    </w:p>
    <w:p w14:paraId="53EAD205"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7287F4BC"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Atrakcyjność osadnicza, pozwolenia na budowę;</w:t>
      </w:r>
    </w:p>
    <w:p w14:paraId="64C4D837" w14:textId="77777777" w:rsidR="005761B6" w:rsidRPr="00717BC7" w:rsidRDefault="005761B6">
      <w:pPr>
        <w:pStyle w:val="Akapitzlist"/>
        <w:numPr>
          <w:ilvl w:val="0"/>
          <w:numId w:val="18"/>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Przyrost liczby ludności miasta Góra Kalwaria był niemal zawsze znacznie wyższy niż średnio w miastach Polski oraz województwa mazowieckiego. Jeszcze korzystniejsza sytuacja w omawianej sferze występowała na obszarach wiejskich gminy. W mieście wzrost liczby mieszkańców następował w wyniku napływu ludności z zewnątrz, a na obszarach </w:t>
      </w:r>
      <w:r w:rsidRPr="00717BC7">
        <w:rPr>
          <w:rFonts w:ascii="Times New Roman" w:hAnsi="Times New Roman" w:cs="Times New Roman"/>
          <w:sz w:val="24"/>
          <w:szCs w:val="24"/>
        </w:rPr>
        <w:lastRenderedPageBreak/>
        <w:t>wiejskich zarówno pod wpływem przyrostu naturalnego jak i dodatniego salda migracji, co jest współcześnie niezbyt częstym zjawiskiem w Polsce;</w:t>
      </w:r>
    </w:p>
    <w:p w14:paraId="6EA7A300" w14:textId="77777777" w:rsidR="005761B6" w:rsidRPr="00717BC7" w:rsidRDefault="005761B6">
      <w:pPr>
        <w:pStyle w:val="Akapitzlist"/>
        <w:numPr>
          <w:ilvl w:val="0"/>
          <w:numId w:val="18"/>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gminie Góra Kalwaria w przeliczeniu na 1000 mieszkańców liczba mieszkań na budowę których uzyskano pozwolenia była w mieście wyraźnie niższa, a na obszarach wiejskich znacznie wyższa od odnośnego poziomu dla Polski i województwa mazowieckiego. W ujęciu ogółem gmina wykazywała niższy poziom ww. wskaźnika od odnośnych średnich dla Polski i województwa mazowieckiego. Lepsza pozycja gminy w omawianej dziedzinie miała miejsce tylko w zakresie uzyskiwanych pozwoleń na budowę domów 1-mieszkaniowych;</w:t>
      </w:r>
    </w:p>
    <w:p w14:paraId="30251BDB" w14:textId="77777777" w:rsidR="005761B6" w:rsidRPr="00717BC7" w:rsidRDefault="005761B6">
      <w:pPr>
        <w:pStyle w:val="Akapitzlist"/>
        <w:numPr>
          <w:ilvl w:val="0"/>
          <w:numId w:val="18"/>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 badanym okresie Gminę Góra Kalwaria cechowała wyższa od średniej krajowej i wojewódzkiej dynamika </w:t>
      </w:r>
      <w:r w:rsidRPr="00717BC7">
        <w:rPr>
          <w:rFonts w:ascii="Times New Roman" w:eastAsia="Times New Roman" w:hAnsi="Times New Roman" w:cs="Times New Roman"/>
          <w:sz w:val="24"/>
          <w:szCs w:val="24"/>
          <w:lang w:eastAsia="pl-PL"/>
        </w:rPr>
        <w:t xml:space="preserve">mieszkań oddanych do użytkowania (zarówno w przeliczeniu na 1000 ludności jak i na 1000 zawartych małżeństw). Pod względem </w:t>
      </w:r>
      <w:r w:rsidRPr="00717BC7">
        <w:rPr>
          <w:rFonts w:ascii="Times New Roman" w:hAnsi="Times New Roman" w:cs="Times New Roman"/>
          <w:sz w:val="24"/>
          <w:szCs w:val="24"/>
        </w:rPr>
        <w:t>cech jakościowych mieszkań oddawanych do użytku (przeciętna liczba izb, przeciętna p.u.) gmina wyprzedza okresowo odnośne średnie krajowe i województwa mazowieckiego. O relatywnie wysokiej atrakcyjności osadniczej gminy świadczy również wysoki poziom nasilenia uzyskiwanych pozwoleń na budowę tak w mieście jak i na obszarach wiejskich.</w:t>
      </w:r>
    </w:p>
    <w:p w14:paraId="1AAA66EB" w14:textId="77777777" w:rsidR="005761B6" w:rsidRPr="00717BC7" w:rsidRDefault="005761B6" w:rsidP="005761B6">
      <w:pPr>
        <w:autoSpaceDE w:val="0"/>
        <w:autoSpaceDN w:val="0"/>
        <w:adjustRightInd w:val="0"/>
        <w:spacing w:after="0"/>
        <w:jc w:val="both"/>
        <w:rPr>
          <w:rFonts w:ascii="Times New Roman" w:hAnsi="Times New Roman" w:cs="Times New Roman"/>
          <w:sz w:val="24"/>
          <w:szCs w:val="24"/>
        </w:rPr>
      </w:pPr>
    </w:p>
    <w:p w14:paraId="163B0E5B" w14:textId="77777777" w:rsidR="005761B6" w:rsidRPr="00717BC7" w:rsidRDefault="005761B6" w:rsidP="005761B6">
      <w:pPr>
        <w:rPr>
          <w:rFonts w:ascii="Times New Roman" w:hAnsi="Times New Roman" w:cs="Times New Roman"/>
          <w:sz w:val="24"/>
          <w:szCs w:val="24"/>
        </w:rPr>
      </w:pPr>
      <w:r w:rsidRPr="00717BC7">
        <w:rPr>
          <w:rFonts w:ascii="Times New Roman" w:hAnsi="Times New Roman" w:cs="Times New Roman"/>
          <w:sz w:val="24"/>
          <w:szCs w:val="24"/>
          <w:u w:val="single"/>
        </w:rPr>
        <w:t>Prognoza demograficzna</w:t>
      </w:r>
      <w:r w:rsidRPr="00717BC7">
        <w:rPr>
          <w:rFonts w:ascii="Times New Roman" w:hAnsi="Times New Roman" w:cs="Times New Roman"/>
          <w:b/>
          <w:sz w:val="24"/>
          <w:szCs w:val="24"/>
          <w:u w:val="single"/>
        </w:rPr>
        <w:t>:</w:t>
      </w:r>
    </w:p>
    <w:p w14:paraId="72A26962" w14:textId="77777777" w:rsidR="005761B6" w:rsidRPr="00717BC7" w:rsidRDefault="005761B6">
      <w:pPr>
        <w:pStyle w:val="Akapitzlist"/>
        <w:numPr>
          <w:ilvl w:val="0"/>
          <w:numId w:val="19"/>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Szacunki GUS zawarte w „</w:t>
      </w:r>
      <w:r w:rsidRPr="00717BC7">
        <w:rPr>
          <w:rFonts w:ascii="Times New Roman" w:eastAsia="Calibri" w:hAnsi="Times New Roman" w:cs="Times New Roman"/>
          <w:sz w:val="24"/>
          <w:szCs w:val="24"/>
          <w:lang w:eastAsia="pl-PL"/>
        </w:rPr>
        <w:t>Prognozie ludności gmin na lata 2017 – 2030” są korzystne dla gminy Góra Kalwaria. Wynika z nich że</w:t>
      </w:r>
      <w:r w:rsidRPr="00717BC7">
        <w:rPr>
          <w:rFonts w:ascii="Times New Roman" w:eastAsia="Times New Roman" w:hAnsi="Times New Roman" w:cs="Times New Roman"/>
          <w:bCs/>
          <w:sz w:val="24"/>
          <w:szCs w:val="24"/>
          <w:lang w:eastAsia="pl-PL"/>
        </w:rPr>
        <w:t xml:space="preserve"> </w:t>
      </w:r>
      <w:r w:rsidRPr="00717BC7">
        <w:rPr>
          <w:rFonts w:ascii="Times New Roman" w:hAnsi="Times New Roman" w:cs="Times New Roman"/>
          <w:sz w:val="24"/>
          <w:szCs w:val="24"/>
        </w:rPr>
        <w:t>liczba ludności gminy zwiększy się perspektywie 2030 roku o ok. 2 tys., do 28,6 tys. osób. Pod tym względem sytuacja gminy w porównaniu z innymi jednostkami kształtuje się bardzo korzystnie. Zgodnie z szacunkami prognozy należy spodziewać się tu także dodatniego salda migracji. Wyniki te potwierdzają wyjątkowy charakter gminy Góra Kalwaria pod względem atrakcyjności osadniczej oraz pośrednio inwestycyjnej.</w:t>
      </w:r>
    </w:p>
    <w:p w14:paraId="5BB1DADF" w14:textId="77777777" w:rsidR="005761B6" w:rsidRPr="00717BC7" w:rsidRDefault="005761B6" w:rsidP="005761B6">
      <w:pPr>
        <w:spacing w:after="0"/>
        <w:rPr>
          <w:rFonts w:ascii="Times New Roman" w:hAnsi="Times New Roman" w:cs="Times New Roman"/>
          <w:sz w:val="24"/>
          <w:szCs w:val="24"/>
        </w:rPr>
      </w:pPr>
    </w:p>
    <w:p w14:paraId="51268A08" w14:textId="41C3FB45" w:rsidR="005761B6" w:rsidRPr="00717BC7" w:rsidRDefault="005761B6" w:rsidP="005761B6">
      <w:pPr>
        <w:pStyle w:val="Nagwek1"/>
        <w:spacing w:before="0"/>
        <w:rPr>
          <w:rFonts w:ascii="Times New Roman" w:hAnsi="Times New Roman" w:cs="Times New Roman"/>
          <w:b/>
          <w:bCs/>
          <w:color w:val="auto"/>
          <w:sz w:val="24"/>
          <w:szCs w:val="24"/>
          <w:u w:val="single"/>
        </w:rPr>
      </w:pPr>
      <w:bookmarkStart w:id="4" w:name="_Toc109901014"/>
      <w:r w:rsidRPr="00717BC7">
        <w:rPr>
          <w:rFonts w:ascii="Times New Roman" w:hAnsi="Times New Roman" w:cs="Times New Roman"/>
          <w:b/>
          <w:bCs/>
          <w:color w:val="auto"/>
          <w:sz w:val="24"/>
          <w:szCs w:val="24"/>
          <w:u w:val="single"/>
        </w:rPr>
        <w:t>Gospodarka i rynek pracy</w:t>
      </w:r>
      <w:bookmarkEnd w:id="4"/>
    </w:p>
    <w:p w14:paraId="4E8A39C2" w14:textId="77777777" w:rsidR="005761B6" w:rsidRPr="00717BC7" w:rsidRDefault="005761B6" w:rsidP="005761B6">
      <w:pPr>
        <w:pStyle w:val="Nagwek2"/>
        <w:spacing w:before="0"/>
        <w:rPr>
          <w:rFonts w:ascii="Times New Roman" w:hAnsi="Times New Roman" w:cs="Times New Roman"/>
          <w:b/>
          <w:color w:val="auto"/>
          <w:sz w:val="24"/>
          <w:szCs w:val="24"/>
        </w:rPr>
      </w:pPr>
    </w:p>
    <w:p w14:paraId="27D6B40D"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rPr>
        <w:t xml:space="preserve"> </w:t>
      </w:r>
      <w:r w:rsidRPr="00717BC7">
        <w:rPr>
          <w:rFonts w:ascii="Times New Roman" w:hAnsi="Times New Roman" w:cs="Times New Roman"/>
          <w:sz w:val="24"/>
          <w:szCs w:val="24"/>
          <w:u w:val="single"/>
        </w:rPr>
        <w:t>Liczba, wielkość i rodzaj podmiotów gospodarczych;</w:t>
      </w:r>
    </w:p>
    <w:p w14:paraId="72C611C3" w14:textId="77777777" w:rsidR="005761B6" w:rsidRPr="00717BC7" w:rsidRDefault="005761B6">
      <w:pPr>
        <w:pStyle w:val="Akapitzlist"/>
        <w:numPr>
          <w:ilvl w:val="0"/>
          <w:numId w:val="20"/>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Istotny wpływ na sytuację gospodarczą i rynek pracy gminy Góra Kalwaria ma jej lokalizacja w niewielkiej odległości od Warszawy. Rozwój gospodarczy gminy w okresie 2015-2020 potwierdza stały przyrost liczby zarejestrowanych w systemie REGON podmiotów gospodarczych (z 3,2 tys. do 3,7 tys., tj. o 15,7%). Pozytywne zmiany w tym zakresie zachodziły zarówno w mieście jak i na obszarze wiejskim, a ich dynamika była wyższa niż przeciętnie w Polsce, a w przypadku obszarów wiejskich również wyższa niż w województwie mazowieckim;</w:t>
      </w:r>
    </w:p>
    <w:p w14:paraId="33A46B23" w14:textId="77777777" w:rsidR="005761B6" w:rsidRPr="00717BC7" w:rsidRDefault="005761B6">
      <w:pPr>
        <w:pStyle w:val="Akapitzlist"/>
        <w:numPr>
          <w:ilvl w:val="0"/>
          <w:numId w:val="20"/>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Wysokie nasycenie podmiotami gospodarczymi w porównaniu z odnośnymi wielkościami w skali ogólnopolskiej i województwa mazowieckiego, Gmina Góra Kalwaria zawdzięcza dużej liczbie podmiotów małych, w tym zlokalizowanych zwłaszcza na obszarach wiejskich. Wśród ogółu podmiotów gospodarki narodowej zarejestrowanych w systemie REGON, w gminie Góra Kalwaria zdecydowanie liczebnie dominowały zakłady osób fizycznych. Ich udział wśród ogółu podmiotów gospodarczych był tu wyższy w ujęciu </w:t>
      </w:r>
      <w:r w:rsidRPr="00717BC7">
        <w:rPr>
          <w:rFonts w:ascii="Times New Roman" w:hAnsi="Times New Roman" w:cs="Times New Roman"/>
          <w:sz w:val="24"/>
          <w:szCs w:val="24"/>
        </w:rPr>
        <w:lastRenderedPageBreak/>
        <w:t>ogółem, miasto, wieś od analogicznych średnich ogólnopolskich i województwa mazowieckiego.</w:t>
      </w:r>
    </w:p>
    <w:p w14:paraId="45AEFCF3" w14:textId="77777777" w:rsidR="005761B6" w:rsidRPr="00717BC7" w:rsidRDefault="005761B6" w:rsidP="005761B6">
      <w:pPr>
        <w:spacing w:after="0"/>
        <w:jc w:val="both"/>
        <w:rPr>
          <w:rFonts w:ascii="Times New Roman" w:hAnsi="Times New Roman" w:cs="Times New Roman"/>
          <w:i/>
          <w:sz w:val="24"/>
          <w:szCs w:val="24"/>
        </w:rPr>
      </w:pPr>
    </w:p>
    <w:p w14:paraId="652ACAF2"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Dominujące branże gospodarki;</w:t>
      </w:r>
    </w:p>
    <w:p w14:paraId="35B8897F" w14:textId="77777777" w:rsidR="005761B6" w:rsidRPr="00717BC7" w:rsidRDefault="005761B6">
      <w:pPr>
        <w:pStyle w:val="Akapitzlist"/>
        <w:numPr>
          <w:ilvl w:val="0"/>
          <w:numId w:val="2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gminie Góra Kalwaria do najważniejszych pozarolniczych branż gospodarki należą: przetwórstwo w zakresie produkcji artykułów spożywczych, tekstylnych, chemicznych, farmaceutycznych, metalowych. Poza tym zwraca uwagę rozwój branży budowlanej oraz działalności handlowej (tak hurtowej, jak i detalicznej), a także transportu i gospodarki magazynowej oraz szeroko rozumianych usług. Można zakładać, iż branże te w niedalekiej przyszłości będą decydowały o profilu gospodarczym gminy i o jej pozycji konkurencyjnej;</w:t>
      </w:r>
    </w:p>
    <w:p w14:paraId="037F8FFA" w14:textId="77777777" w:rsidR="005761B6" w:rsidRPr="00717BC7" w:rsidRDefault="005761B6">
      <w:pPr>
        <w:pStyle w:val="Akapitzlist"/>
        <w:numPr>
          <w:ilvl w:val="0"/>
          <w:numId w:val="2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zakresie produkcji rolniczej, według Powszechnego Spisu Rolnego 2010 ponad 70% ogólnej powierzchni znajdowało się w gospodarstwach o wielkości od 1 do 10 hektarów. Ze względu na specyfikę produkcji rolnej rozwiniętej w gminie Góra Kalwaria, zjawisko to można ocenić pozytywnie. Na 1452 gospodarstwa ogółem zarejestrowane w gminie, produkcją roślinną zajmowało niespełna 20% ogółu. Dominowały w tym zakresie zboża podstawowe (71% powierzchni pod zasiewami) a w dalszej kolejności uprawy przemysłowe (10% areału) i warzywa gruntowe (4%);</w:t>
      </w:r>
    </w:p>
    <w:p w14:paraId="4FC31E32" w14:textId="77777777" w:rsidR="005761B6" w:rsidRPr="00717BC7" w:rsidRDefault="005761B6">
      <w:pPr>
        <w:pStyle w:val="Akapitzlist"/>
        <w:numPr>
          <w:ilvl w:val="0"/>
          <w:numId w:val="2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O specyfice struktury produkcji gospodarstw rolnych w gminie Góra Kalwaria decydują uprawy trwałe (w tym sady). Zajmują one 39% ogółu gruntów w gospodarstwach rolnych (przy średniej krajowej 2,2% i w województwie mazowieckim 4,6%). Gospodarstwa rolne z sadami stanowiły 49,5% ogółu, podczas gdy w Polsce 12,5%, a w województwie mazowieckim 15,2%;</w:t>
      </w:r>
    </w:p>
    <w:p w14:paraId="0B6A3CBC" w14:textId="77777777" w:rsidR="005761B6" w:rsidRPr="00717BC7" w:rsidRDefault="005761B6">
      <w:pPr>
        <w:pStyle w:val="Akapitzlist"/>
        <w:numPr>
          <w:ilvl w:val="0"/>
          <w:numId w:val="5"/>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Dokonując ogólnych podsumowań rozwoju gospodarczego gminy Góra Kalwaria należy podkreślić, że jej baza ekonomiczna jest w znacznym stopniu zdywersyfikowana, co należy uznać za zjawisko bardzo korzystne. Opiera się ona na relatywnie silnych, wyspecjalizowanych rodzajach produkcji i usług. Działalność gospodarcza na obszarze gminy ma charakter intensywny, angażuje szerokie kręgi społeczne, czego wyrazem jest wysoki wskaźnik nasycenia i dynamiki przyrostu podmiotów gospodarczych. Efektywna i konkurencyjna działalność gospodarcza rozwijana na obszarze gminy Góra Kalwaria prowadzona jest zarówno w sferze „pozarolniczej”, jak i w rolnictwie.</w:t>
      </w:r>
    </w:p>
    <w:p w14:paraId="05A8A03D" w14:textId="77777777" w:rsidR="005761B6" w:rsidRPr="00717BC7" w:rsidRDefault="005761B6" w:rsidP="005761B6">
      <w:pPr>
        <w:spacing w:after="0"/>
        <w:jc w:val="both"/>
        <w:rPr>
          <w:rFonts w:ascii="Times New Roman" w:hAnsi="Times New Roman" w:cs="Times New Roman"/>
          <w:i/>
          <w:sz w:val="24"/>
          <w:szCs w:val="24"/>
        </w:rPr>
      </w:pPr>
    </w:p>
    <w:p w14:paraId="3117F085"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Poziom lokalnej przedsiębiorczości;</w:t>
      </w:r>
    </w:p>
    <w:p w14:paraId="7E72E62B" w14:textId="77777777" w:rsidR="005761B6" w:rsidRPr="00717BC7" w:rsidRDefault="005761B6">
      <w:pPr>
        <w:pStyle w:val="Akapitzlist"/>
        <w:numPr>
          <w:ilvl w:val="0"/>
          <w:numId w:val="22"/>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Relatywnie wysoki poziom nasycenia podmiotami gospodarczymi w gminie Góra Kalwaria w szczególności na obszarach wiejskich, w przeważającym stopniu wynika z dużego nasycenia zakładami osób fizycznych; </w:t>
      </w:r>
    </w:p>
    <w:p w14:paraId="18F5073E" w14:textId="77777777" w:rsidR="005761B6" w:rsidRPr="00717BC7" w:rsidRDefault="005761B6">
      <w:pPr>
        <w:pStyle w:val="Akapitzlist"/>
        <w:numPr>
          <w:ilvl w:val="0"/>
          <w:numId w:val="22"/>
        </w:numPr>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Wysoka dynamika powstawania nowych podmiotów gospodarczych w gminie Góra Kalwaria była w znacznej mierze skutkiem dużego (w zestawieniu z odnośnymi wielkościami dla Polski i województwa mazowieckiego) udziału nowopowstających podmiotów w sektorach: medycznym, kreatywnym oraz przetwórstwa rolno-spożywczego. Mniej intensywnie były natomiast zjawiska likwidacji zarejestrowanych podmiotów gospodarczych.</w:t>
      </w:r>
    </w:p>
    <w:p w14:paraId="0B23A6AD" w14:textId="77777777" w:rsidR="005761B6" w:rsidRPr="00717BC7" w:rsidRDefault="005761B6" w:rsidP="005761B6">
      <w:pPr>
        <w:pStyle w:val="Nagwek2"/>
        <w:spacing w:before="0"/>
        <w:rPr>
          <w:rFonts w:ascii="Times New Roman" w:hAnsi="Times New Roman" w:cs="Times New Roman"/>
          <w:b/>
          <w:color w:val="auto"/>
          <w:sz w:val="24"/>
          <w:szCs w:val="24"/>
        </w:rPr>
      </w:pPr>
    </w:p>
    <w:p w14:paraId="71BDE375"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Tereny inwestycyjne;</w:t>
      </w:r>
    </w:p>
    <w:p w14:paraId="1CCBEA94" w14:textId="77777777" w:rsidR="005761B6" w:rsidRPr="00717BC7" w:rsidRDefault="005761B6">
      <w:pPr>
        <w:pStyle w:val="Akapitzlist"/>
        <w:numPr>
          <w:ilvl w:val="0"/>
          <w:numId w:val="23"/>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gminie Góra Kalwaria występują znaczące ograniczenia w zakresie dostępności terenów inwestycyjnych. W „</w:t>
      </w:r>
      <w:r w:rsidRPr="00717BC7">
        <w:rPr>
          <w:rFonts w:ascii="Times New Roman" w:hAnsi="Times New Roman" w:cs="Times New Roman"/>
          <w:bCs/>
          <w:sz w:val="24"/>
          <w:szCs w:val="24"/>
        </w:rPr>
        <w:t xml:space="preserve">Studium Uwarunkowań i Kierunków Zagospodarowania Przestrzennego Miasta i Gminy Góra Kalwaria” </w:t>
      </w:r>
      <w:r w:rsidRPr="00717BC7">
        <w:rPr>
          <w:rFonts w:ascii="Times New Roman" w:hAnsi="Times New Roman" w:cs="Times New Roman"/>
          <w:sz w:val="24"/>
          <w:szCs w:val="24"/>
        </w:rPr>
        <w:t>razem tereny zabudowane i zainwestowane oraz przewidziane do zabudowy i zagospodarowania obejmują 5266 ha i stanowią 36,3% jej ogólnej powierzchni. Tereny te są „terenami inwestycyjnymi”, jako, że „Studium …” dopuszcza na ich obszarze nowe inwestycje jak również inwestycje modernizacji i wymiany istniejących form zagospodarowania.</w:t>
      </w:r>
    </w:p>
    <w:p w14:paraId="55F2F8F8"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65462DB0" w14:textId="77777777" w:rsidR="005761B6" w:rsidRPr="00717BC7" w:rsidRDefault="005761B6" w:rsidP="005761B6">
      <w:pPr>
        <w:rPr>
          <w:rFonts w:ascii="Times New Roman" w:hAnsi="Times New Roman" w:cs="Times New Roman"/>
          <w:sz w:val="24"/>
          <w:szCs w:val="24"/>
        </w:rPr>
      </w:pPr>
      <w:r w:rsidRPr="00717BC7">
        <w:rPr>
          <w:rFonts w:ascii="Times New Roman" w:hAnsi="Times New Roman" w:cs="Times New Roman"/>
          <w:sz w:val="24"/>
          <w:szCs w:val="24"/>
          <w:u w:val="single"/>
        </w:rPr>
        <w:t>Bezrobocie w ujęciu obrazującym różne grupy funkcjonalne i dynamika zmian</w:t>
      </w:r>
      <w:r w:rsidRPr="00717BC7">
        <w:rPr>
          <w:rFonts w:ascii="Times New Roman" w:hAnsi="Times New Roman" w:cs="Times New Roman"/>
          <w:bCs/>
          <w:sz w:val="24"/>
          <w:szCs w:val="24"/>
          <w:u w:val="single"/>
        </w:rPr>
        <w:t>;</w:t>
      </w:r>
    </w:p>
    <w:p w14:paraId="5053B2D8" w14:textId="77777777" w:rsidR="005761B6" w:rsidRPr="00717BC7" w:rsidRDefault="005761B6">
      <w:pPr>
        <w:pStyle w:val="Akapitzlist"/>
        <w:numPr>
          <w:ilvl w:val="0"/>
          <w:numId w:val="23"/>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Na obszarze gminy Góra Kalwaria dość korzystnie kształtowała się sytuacja na rynku pracy. poziom wskaźnika liczby bezrobotnych do ludności w wieku produkcyjnym ogółem, czyli swoista quasi „stopa bezrobocia” był wyraźnie niższy niż średnio w kraju ogółem, w województwie mazowieckim ogółem oraz średnio w gminach miejsko-wiejskich Polski i gminach miejsko-wiejskich województwa mazowieckiego. Udział zarejestrowanych bezrobotnych niemal we wszystkich tzw. „wrażliwych” grupach społecznych był na korzystniejszym poziomie niż średnio w kraju i województwie mazowieckim tj. niższy: wśród kobiet niż wśród mężczyzn, wśród młodych osób, oraz osób długotrwale bezrobotnych. Względnie gorsza sytuacja niż średnio w kraju i w województwie mazowieckim występowała w gminie Góra Kalwaria w zakresie dostępności miejsc pracy dla osób powyżej 50 roku życia i dla mężczyzn. Obie te grupy miały wyższy niż średnio w kraju udział w ogólnej liczbie bezrobotnych, ale trzeba pamiętać, że ogólny poziom bezrobocia w Gminie był niższy niż na odnośnych obszarach.</w:t>
      </w:r>
    </w:p>
    <w:p w14:paraId="3600F69D" w14:textId="77777777" w:rsidR="005761B6" w:rsidRPr="00717BC7" w:rsidRDefault="005761B6" w:rsidP="005761B6">
      <w:pPr>
        <w:spacing w:after="0"/>
        <w:rPr>
          <w:rFonts w:ascii="Times New Roman" w:hAnsi="Times New Roman" w:cs="Times New Roman"/>
          <w:sz w:val="24"/>
          <w:szCs w:val="24"/>
        </w:rPr>
      </w:pPr>
    </w:p>
    <w:p w14:paraId="5E01BF52" w14:textId="436C4D8D" w:rsidR="005761B6" w:rsidRPr="00717BC7" w:rsidRDefault="005761B6" w:rsidP="005761B6">
      <w:pPr>
        <w:pStyle w:val="Nagwek1"/>
        <w:spacing w:before="0"/>
        <w:rPr>
          <w:rFonts w:ascii="Times New Roman" w:hAnsi="Times New Roman" w:cs="Times New Roman"/>
          <w:b/>
          <w:bCs/>
          <w:color w:val="auto"/>
          <w:sz w:val="24"/>
          <w:szCs w:val="24"/>
          <w:u w:val="single"/>
        </w:rPr>
      </w:pPr>
      <w:bookmarkStart w:id="5" w:name="_Toc109901015"/>
      <w:r w:rsidRPr="00717BC7">
        <w:rPr>
          <w:rFonts w:ascii="Times New Roman" w:hAnsi="Times New Roman" w:cs="Times New Roman"/>
          <w:b/>
          <w:bCs/>
          <w:color w:val="auto"/>
          <w:sz w:val="24"/>
          <w:szCs w:val="24"/>
          <w:u w:val="single"/>
        </w:rPr>
        <w:t>Środowisko naturalne i infrastruktura</w:t>
      </w:r>
      <w:bookmarkEnd w:id="5"/>
    </w:p>
    <w:p w14:paraId="0415A846" w14:textId="77777777" w:rsidR="005761B6" w:rsidRPr="00717BC7" w:rsidRDefault="005761B6" w:rsidP="005761B6">
      <w:pPr>
        <w:pStyle w:val="Nagwek2"/>
        <w:spacing w:before="0"/>
        <w:rPr>
          <w:rFonts w:ascii="Times New Roman" w:hAnsi="Times New Roman" w:cs="Times New Roman"/>
          <w:b/>
          <w:color w:val="auto"/>
          <w:sz w:val="24"/>
          <w:szCs w:val="24"/>
        </w:rPr>
      </w:pPr>
    </w:p>
    <w:p w14:paraId="4DE54618"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Walory środowiska naturalnego, przyrodnicze i krajobrazowe, różnorodność biologiczna;</w:t>
      </w:r>
    </w:p>
    <w:p w14:paraId="6FBED730" w14:textId="77777777" w:rsidR="005761B6" w:rsidRPr="00717BC7" w:rsidRDefault="005761B6">
      <w:pPr>
        <w:pStyle w:val="Akapitzlist"/>
        <w:numPr>
          <w:ilvl w:val="0"/>
          <w:numId w:val="23"/>
        </w:numPr>
        <w:shd w:val="clear" w:color="auto" w:fill="FFFFFF"/>
        <w:spacing w:after="0" w:line="276" w:lineRule="auto"/>
        <w:ind w:left="426" w:hanging="426"/>
        <w:jc w:val="both"/>
        <w:rPr>
          <w:rFonts w:ascii="Times New Roman" w:eastAsia="Times New Roman" w:hAnsi="Times New Roman" w:cs="Times New Roman"/>
          <w:i/>
          <w:sz w:val="24"/>
          <w:szCs w:val="24"/>
          <w:lang w:eastAsia="pl-PL"/>
        </w:rPr>
      </w:pPr>
      <w:r w:rsidRPr="00717BC7">
        <w:rPr>
          <w:rFonts w:ascii="Times New Roman" w:eastAsia="Times New Roman" w:hAnsi="Times New Roman" w:cs="Times New Roman"/>
          <w:sz w:val="24"/>
          <w:szCs w:val="24"/>
          <w:lang w:eastAsia="pl-PL"/>
        </w:rPr>
        <w:t>Gmina Góra Kalwaria obejmuje obszar cenny przyrodniczo i to ujmowany w skali krajowej, a nawet europejskiej. Wschodnią granicę gminy tworzy rzeka Wisła z niezwykle cennymi przyrodniczo terenami nadbrzeżnymi, w tym skarpą wiślaną. Na terenie gminy znajdują się między innymi: rezerwat, park krajobrazowy, obszary Natura 2000 i jezioro będące pomnikiem przyrody;</w:t>
      </w:r>
    </w:p>
    <w:p w14:paraId="07524FCA" w14:textId="77777777" w:rsidR="005761B6" w:rsidRPr="00717BC7" w:rsidRDefault="005761B6">
      <w:pPr>
        <w:pStyle w:val="Akapitzlist"/>
        <w:numPr>
          <w:ilvl w:val="0"/>
          <w:numId w:val="24"/>
        </w:numPr>
        <w:shd w:val="clear" w:color="auto" w:fill="FFFFFF"/>
        <w:spacing w:after="0" w:line="276" w:lineRule="auto"/>
        <w:jc w:val="both"/>
        <w:rPr>
          <w:rFonts w:ascii="Times New Roman" w:eastAsia="Times New Roman" w:hAnsi="Times New Roman" w:cs="Times New Roman"/>
          <w:sz w:val="24"/>
          <w:szCs w:val="24"/>
          <w:lang w:eastAsia="pl-PL"/>
        </w:rPr>
      </w:pPr>
      <w:r w:rsidRPr="00717BC7">
        <w:rPr>
          <w:rFonts w:ascii="Times New Roman" w:eastAsia="Times New Roman" w:hAnsi="Times New Roman" w:cs="Times New Roman"/>
          <w:sz w:val="24"/>
          <w:szCs w:val="24"/>
          <w:lang w:eastAsia="pl-PL"/>
        </w:rPr>
        <w:t>Wschodnia, skrajna część gminy wchodzi w skład obszaru Natura 2000 </w:t>
      </w:r>
      <w:r w:rsidRPr="00717BC7">
        <w:rPr>
          <w:rFonts w:ascii="Times New Roman" w:eastAsia="Times New Roman" w:hAnsi="Times New Roman" w:cs="Times New Roman"/>
          <w:bCs/>
          <w:sz w:val="24"/>
          <w:szCs w:val="24"/>
          <w:lang w:eastAsia="pl-PL"/>
        </w:rPr>
        <w:t>Dolina Środkowej Wisły</w:t>
      </w:r>
      <w:r w:rsidRPr="00717BC7">
        <w:rPr>
          <w:rFonts w:ascii="Times New Roman" w:eastAsia="Times New Roman" w:hAnsi="Times New Roman" w:cs="Times New Roman"/>
          <w:sz w:val="24"/>
          <w:szCs w:val="24"/>
          <w:lang w:eastAsia="pl-PL"/>
        </w:rPr>
        <w:t>. Obejmuje on rzekę i przyległe tereny między Płockiem a Dęblinem. To strefa tzw. specjalnej ochrony ptaków. Obszar Natura 2000 charakteryzuje się niezwykła specyfiką, którą nadają mu liczne łachy (czyli piaszczyste mielizny), wyspy porośnięte roślinnością i starorzecza. Szczególną częścią Doliny Środkowej Wisły jest położony tu rezerwat przyrody </w:t>
      </w:r>
      <w:r w:rsidRPr="00717BC7">
        <w:rPr>
          <w:rFonts w:ascii="Times New Roman" w:eastAsia="Times New Roman" w:hAnsi="Times New Roman" w:cs="Times New Roman"/>
          <w:bCs/>
          <w:sz w:val="24"/>
          <w:szCs w:val="24"/>
          <w:lang w:eastAsia="pl-PL"/>
        </w:rPr>
        <w:t>Łachy Brzeskie</w:t>
      </w:r>
      <w:r w:rsidRPr="00717BC7">
        <w:rPr>
          <w:rFonts w:ascii="Times New Roman" w:eastAsia="Times New Roman" w:hAnsi="Times New Roman" w:cs="Times New Roman"/>
          <w:sz w:val="24"/>
          <w:szCs w:val="24"/>
          <w:lang w:eastAsia="pl-PL"/>
        </w:rPr>
        <w:t>. Drugi obszar Natura 2000 – </w:t>
      </w:r>
      <w:r w:rsidRPr="00717BC7">
        <w:rPr>
          <w:rFonts w:ascii="Times New Roman" w:eastAsia="Times New Roman" w:hAnsi="Times New Roman" w:cs="Times New Roman"/>
          <w:bCs/>
          <w:sz w:val="24"/>
          <w:szCs w:val="24"/>
          <w:lang w:eastAsia="pl-PL"/>
        </w:rPr>
        <w:t>Łąki Soleckie to</w:t>
      </w:r>
      <w:r w:rsidRPr="00717BC7">
        <w:rPr>
          <w:rFonts w:ascii="Times New Roman" w:eastAsia="Times New Roman" w:hAnsi="Times New Roman" w:cs="Times New Roman"/>
          <w:sz w:val="24"/>
          <w:szCs w:val="24"/>
          <w:lang w:eastAsia="pl-PL"/>
        </w:rPr>
        <w:t>. dolina rzeki Małej we wsi Solec. Północno-zachodnia, skrajna część gminy to z kolei </w:t>
      </w:r>
      <w:r w:rsidRPr="00717BC7">
        <w:rPr>
          <w:rFonts w:ascii="Times New Roman" w:eastAsia="Times New Roman" w:hAnsi="Times New Roman" w:cs="Times New Roman"/>
          <w:bCs/>
          <w:sz w:val="24"/>
          <w:szCs w:val="24"/>
          <w:lang w:eastAsia="pl-PL"/>
        </w:rPr>
        <w:t>Chojnowski Park Krajobrazowy</w:t>
      </w:r>
      <w:r w:rsidRPr="00717BC7">
        <w:rPr>
          <w:rFonts w:ascii="Times New Roman" w:eastAsia="Times New Roman" w:hAnsi="Times New Roman" w:cs="Times New Roman"/>
          <w:sz w:val="24"/>
          <w:szCs w:val="24"/>
          <w:lang w:eastAsia="pl-PL"/>
        </w:rPr>
        <w:t>, utworzony w celu ochrony liściasto-mieszanych Lasów Chojnowskich, doliny rzeki Jeziorki i fragmentu doliny Wisły. W gminie Góra Kalwaria znajduje się przeszło 20 pomników przyrody. To drzewa, głównie dęby szypułkowe, oraz </w:t>
      </w:r>
      <w:r w:rsidRPr="00717BC7">
        <w:rPr>
          <w:rFonts w:ascii="Times New Roman" w:eastAsia="Times New Roman" w:hAnsi="Times New Roman" w:cs="Times New Roman"/>
          <w:bCs/>
          <w:sz w:val="24"/>
          <w:szCs w:val="24"/>
          <w:lang w:eastAsia="pl-PL"/>
        </w:rPr>
        <w:t xml:space="preserve">Jezioro </w:t>
      </w:r>
      <w:r w:rsidRPr="00717BC7">
        <w:rPr>
          <w:rFonts w:ascii="Times New Roman" w:eastAsia="Times New Roman" w:hAnsi="Times New Roman" w:cs="Times New Roman"/>
          <w:bCs/>
          <w:sz w:val="24"/>
          <w:szCs w:val="24"/>
          <w:lang w:eastAsia="pl-PL"/>
        </w:rPr>
        <w:lastRenderedPageBreak/>
        <w:t>Czerskie</w:t>
      </w:r>
      <w:r w:rsidRPr="00717BC7">
        <w:rPr>
          <w:rFonts w:ascii="Times New Roman" w:eastAsia="Times New Roman" w:hAnsi="Times New Roman" w:cs="Times New Roman"/>
          <w:sz w:val="24"/>
          <w:szCs w:val="24"/>
          <w:lang w:eastAsia="pl-PL"/>
        </w:rPr>
        <w:t xml:space="preserve">. Leży ono w Czersku, u podnóża Zamku Książąt Mazowieckich. Z 9-hektarowego zbiornika wypływa, wpadająca do Wisły, rzeczka Cedron. </w:t>
      </w:r>
    </w:p>
    <w:p w14:paraId="7BCBBBE4" w14:textId="77777777" w:rsidR="005761B6" w:rsidRPr="00717BC7" w:rsidRDefault="005761B6" w:rsidP="005761B6">
      <w:pPr>
        <w:shd w:val="clear" w:color="auto" w:fill="FFFFFF"/>
        <w:spacing w:after="0"/>
        <w:ind w:left="360"/>
        <w:jc w:val="both"/>
        <w:rPr>
          <w:rFonts w:ascii="Times New Roman" w:eastAsia="Times New Roman" w:hAnsi="Times New Roman" w:cs="Times New Roman"/>
          <w:sz w:val="24"/>
          <w:szCs w:val="24"/>
          <w:lang w:eastAsia="pl-PL"/>
        </w:rPr>
      </w:pPr>
    </w:p>
    <w:p w14:paraId="51F40CEB"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Formy ochrony przyrody i powierzchnia obszarów chronionych;</w:t>
      </w:r>
    </w:p>
    <w:p w14:paraId="1AA06D36" w14:textId="77777777" w:rsidR="005761B6" w:rsidRPr="00717BC7" w:rsidRDefault="005761B6">
      <w:pPr>
        <w:pStyle w:val="Akapitzlist"/>
        <w:numPr>
          <w:ilvl w:val="0"/>
          <w:numId w:val="25"/>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Gmina Góra Kalwaria leży w obszarze Niziny Środkowo – Mazowieckiej, oraz w obszarze dwóch mezoregionów: Doliny Środkowej Wisły i Równiny Warszawskiej. Ogółem na terenie gminy znajduje się około 7 703 ha obszarów prawnie chronionych, z czego 226,7 ha stanowią rezerwaty przyrody. Ponad 60% gminy objętych jest prawnymi formami ochrony przyrody, co pokazuje, jak wielkie jest bogactwo przyrodnicze tego obszaru. Walory środowiska przyrodniczego stanowią o atrakcyjności i potencjale gminy, która przyciąga turystów oraz zachęca do osiedlania się na tych terenach. Do obszarów chronionych w gminie należą:</w:t>
      </w:r>
    </w:p>
    <w:p w14:paraId="178A824B"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Dolina Środkowej Wisły z najbliższym otoczeniem, chroniona programem Natura 2000, na terenie gminy, o obszarze ochrony 1353 ha; </w:t>
      </w:r>
    </w:p>
    <w:p w14:paraId="37B52A46"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Łąki Soleckie (obszar siedliskowy), Program Natura 2000, w granicach gminy obejmuje ochroną ok. 198 ha; </w:t>
      </w:r>
    </w:p>
    <w:p w14:paraId="3C238DA8"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Rezerwat Łachy Brzeskie - obejmuje ochroną wyspy, łachy piaszczyste, wody płynące Wisły, w gminie Góra Kalwaria teren objęty ochroną to 226,71 ha. Celem ochrony w rezerwacie jest zachowanie ze względów naukowych i dydaktycznych ostoi łęgowych rzadkich i ginących gatunków ptaków występujących na obszarze Wisły; </w:t>
      </w:r>
    </w:p>
    <w:p w14:paraId="3AFE31C9"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Chojnowski Park Krajobrazowy - wraz z otuliną zajmuje 6796 ha i jest parkiem typowo leśnym. Na terenie gminy obszar ochrony zajmuje niewielką północno - zachodnią jej część o powierzchni 612 ha; </w:t>
      </w:r>
    </w:p>
    <w:p w14:paraId="44C8B7FF"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Warszawski Obszar Chronionego Krajobrazu (WoChK) – największy obszar w gminie objęty ochroną o powierzchni ok 8428 ha; </w:t>
      </w:r>
    </w:p>
    <w:p w14:paraId="63479284"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19 pomników przyrody między innymi: Jezioro Czerskie, dęby szypułkowe, klony zwyczajne, topola czarna, buk zwyczajny, topola biała, lipa drobnolistna; </w:t>
      </w:r>
    </w:p>
    <w:p w14:paraId="4BCCCCD6"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przyrodnicze ciągi ekologiczne dolin rzek – Wisły, Czarnej, Zielonej i Cedronu oraz ciąg łączący dolinę Wisły z Chojnowskim Parkiem Krajobrazowym; </w:t>
      </w:r>
    </w:p>
    <w:p w14:paraId="0ADB0364"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Kompleksy leśne; </w:t>
      </w:r>
    </w:p>
    <w:p w14:paraId="0F1DB80C" w14:textId="77777777" w:rsidR="005761B6" w:rsidRPr="00717BC7" w:rsidRDefault="005761B6">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Zbiorniki wodne. </w:t>
      </w:r>
    </w:p>
    <w:p w14:paraId="022A57FD"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2D7E3E28"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Stan i ochrona środowiska, w tym stopień rozwoju infrastruktury sieciowej i odsetek korzystających z niej mieszkańców (kanalizacja, wodociąg, gazociąg);</w:t>
      </w:r>
    </w:p>
    <w:p w14:paraId="5F2355AE" w14:textId="77777777" w:rsidR="005761B6" w:rsidRPr="00717BC7" w:rsidRDefault="005761B6">
      <w:pPr>
        <w:pStyle w:val="Akapitzlist"/>
        <w:numPr>
          <w:ilvl w:val="0"/>
          <w:numId w:val="25"/>
        </w:numPr>
        <w:spacing w:after="0" w:line="276" w:lineRule="auto"/>
        <w:ind w:left="426"/>
        <w:jc w:val="both"/>
        <w:rPr>
          <w:rFonts w:ascii="Times New Roman" w:hAnsi="Times New Roman" w:cs="Times New Roman"/>
          <w:sz w:val="24"/>
          <w:szCs w:val="24"/>
          <w:lang w:eastAsia="pl-PL"/>
        </w:rPr>
      </w:pPr>
      <w:r w:rsidRPr="00717BC7">
        <w:rPr>
          <w:rFonts w:ascii="Times New Roman" w:eastAsia="Times New Roman" w:hAnsi="Times New Roman" w:cs="Times New Roman"/>
          <w:sz w:val="24"/>
          <w:szCs w:val="24"/>
          <w:lang w:eastAsia="pl-PL"/>
        </w:rPr>
        <w:t>W gminie Góra Kalwaria występował wysoki stopień upowszechnienia dostępu do sieci wodociągowej. W 2019 r. z tej sieci korzystało 97% ogółu ludności gminy, w tym w mieście ponad 93,5 %, a na terenach wiejskich 99,8%. W roku 2020 przeciętne zużycie wody przez gospodarstwa domowe, w przeliczeniu na mieszkańca gminy Góra Kalwaria, było wyższe od średniej krajowej i średniej dla województwa mazowieckiego zarówno w mieście jak i na wsi</w:t>
      </w:r>
      <w:bookmarkStart w:id="6" w:name="_Toc519509007"/>
      <w:bookmarkStart w:id="7" w:name="_Toc6009525"/>
      <w:r w:rsidRPr="00717BC7">
        <w:rPr>
          <w:rFonts w:ascii="Times New Roman" w:eastAsia="Times New Roman" w:hAnsi="Times New Roman" w:cs="Times New Roman"/>
          <w:sz w:val="24"/>
          <w:szCs w:val="24"/>
          <w:lang w:eastAsia="pl-PL"/>
        </w:rPr>
        <w:t>;</w:t>
      </w:r>
    </w:p>
    <w:bookmarkEnd w:id="6"/>
    <w:bookmarkEnd w:id="7"/>
    <w:p w14:paraId="699ADA30" w14:textId="77777777" w:rsidR="005761B6" w:rsidRPr="00717BC7" w:rsidRDefault="005761B6">
      <w:pPr>
        <w:pStyle w:val="Akapitzlist"/>
        <w:numPr>
          <w:ilvl w:val="0"/>
          <w:numId w:val="25"/>
        </w:numPr>
        <w:spacing w:after="0" w:line="276" w:lineRule="auto"/>
        <w:ind w:left="426"/>
        <w:jc w:val="both"/>
        <w:rPr>
          <w:rFonts w:ascii="Times New Roman" w:eastAsia="Times New Roman" w:hAnsi="Times New Roman" w:cs="Times New Roman"/>
          <w:sz w:val="24"/>
          <w:szCs w:val="24"/>
          <w:lang w:eastAsia="pl-PL"/>
        </w:rPr>
      </w:pPr>
      <w:r w:rsidRPr="00717BC7">
        <w:rPr>
          <w:rFonts w:ascii="Times New Roman" w:eastAsia="Times New Roman" w:hAnsi="Times New Roman" w:cs="Times New Roman"/>
          <w:sz w:val="24"/>
          <w:szCs w:val="24"/>
          <w:lang w:eastAsia="pl-PL"/>
        </w:rPr>
        <w:t xml:space="preserve">W 2019 r. w gminie Góra Kalwaria z sieci kanalizacyjnej korzystało 55,6% ogółu ludności gminy. W mieście dostęp do kanalizacji miało ponad 73,2%, a na wsi 41,3 ogółu mieszkańców. Odsetek ludności korzystającej z sieci kanalizacyjnej był wyraźnie niższy </w:t>
      </w:r>
      <w:r w:rsidRPr="00717BC7">
        <w:rPr>
          <w:rFonts w:ascii="Times New Roman" w:eastAsia="Times New Roman" w:hAnsi="Times New Roman" w:cs="Times New Roman"/>
          <w:sz w:val="24"/>
          <w:szCs w:val="24"/>
          <w:lang w:eastAsia="pl-PL"/>
        </w:rPr>
        <w:lastRenderedPageBreak/>
        <w:t>od użytkowników sieci wodociągowej. Dysproporcje te widoczne były zwłaszcza na obszarze wiejskim gminy (różnica 58,5 pkt. proc.), mniejsze w mieście Góra Kalwaria (37,9 pkt proc.);</w:t>
      </w:r>
    </w:p>
    <w:p w14:paraId="74B14571" w14:textId="77777777" w:rsidR="005761B6" w:rsidRPr="00717BC7" w:rsidRDefault="005761B6">
      <w:pPr>
        <w:pStyle w:val="Akapitzlist"/>
        <w:numPr>
          <w:ilvl w:val="0"/>
          <w:numId w:val="25"/>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Wysoki stopień rozwoju sieci wodociągowej, kanalizacyjnej oraz systemu oczyszczania ścieków tak w gminie Góra Kalwaria ogółem, jak i w mieście oraz na obszarach wiejskich powodował, iż odprowadzano tutaj relatywnie więcej ścieków w przeliczeniu na mieszkańca niż średnio w kraju i województwie mazowieckim. System oczyszczania ścieków funkcjonujący jest tu lepiej rozwinięty niż przeciętnie biorąc w kraju i województwie mazowieckim. Odbierane ścieki są w całości poddawane oczyszczeni, co jest ciągle niezbyt często spotykane w kraju i województwie mazowieckim, zwłaszcza na obszarach wiejskich;</w:t>
      </w:r>
    </w:p>
    <w:p w14:paraId="4FC1F05E" w14:textId="77777777" w:rsidR="005761B6" w:rsidRPr="00717BC7" w:rsidRDefault="005761B6">
      <w:pPr>
        <w:pStyle w:val="Akapitzlist"/>
        <w:numPr>
          <w:ilvl w:val="0"/>
          <w:numId w:val="25"/>
        </w:numPr>
        <w:spacing w:after="0" w:line="276" w:lineRule="auto"/>
        <w:ind w:left="426"/>
        <w:jc w:val="both"/>
        <w:rPr>
          <w:rFonts w:ascii="Times New Roman" w:eastAsia="Times New Roman" w:hAnsi="Times New Roman" w:cs="Times New Roman"/>
          <w:sz w:val="24"/>
          <w:szCs w:val="24"/>
          <w:lang w:eastAsia="pl-PL"/>
        </w:rPr>
      </w:pPr>
      <w:r w:rsidRPr="00717BC7">
        <w:rPr>
          <w:rFonts w:ascii="Times New Roman" w:eastAsia="Times New Roman" w:hAnsi="Times New Roman" w:cs="Times New Roman"/>
          <w:sz w:val="24"/>
          <w:szCs w:val="24"/>
          <w:lang w:eastAsia="pl-PL"/>
        </w:rPr>
        <w:t xml:space="preserve">W 2019 r. w gminie Góra Kalwaria z sieci gazowej korzystało 41% ogółu ludności gminy. W mieście dostęp do gazociągu miało ponad 49 % ogółu mieszkańców, a na terenach wiejskich 34%. </w:t>
      </w:r>
    </w:p>
    <w:p w14:paraId="5E2F2AC7" w14:textId="77777777" w:rsidR="005761B6" w:rsidRPr="00717BC7" w:rsidRDefault="005761B6" w:rsidP="005761B6">
      <w:pPr>
        <w:pStyle w:val="Nagwek2"/>
        <w:spacing w:before="0"/>
        <w:rPr>
          <w:rFonts w:ascii="Times New Roman" w:hAnsi="Times New Roman" w:cs="Times New Roman"/>
          <w:b/>
          <w:color w:val="auto"/>
          <w:sz w:val="24"/>
          <w:szCs w:val="24"/>
        </w:rPr>
      </w:pPr>
    </w:p>
    <w:p w14:paraId="5288EBF5"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Infrastruktura energetyczna;</w:t>
      </w:r>
    </w:p>
    <w:p w14:paraId="69D103C6" w14:textId="77777777" w:rsidR="005761B6" w:rsidRPr="00717BC7" w:rsidRDefault="005761B6">
      <w:pPr>
        <w:pStyle w:val="Akapitzlist"/>
        <w:numPr>
          <w:ilvl w:val="0"/>
          <w:numId w:val="30"/>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bCs/>
          <w:sz w:val="24"/>
          <w:szCs w:val="24"/>
        </w:rPr>
        <w:t xml:space="preserve">Według dokumentu „Plan Gospodarki Niskoemisyjnej dla Miasta i Gminy Góra Kalwaria” z 2016 r. stwierdza się iż, </w:t>
      </w:r>
      <w:r w:rsidRPr="00717BC7">
        <w:rPr>
          <w:rFonts w:ascii="Times New Roman" w:hAnsi="Times New Roman" w:cs="Times New Roman"/>
          <w:sz w:val="24"/>
          <w:szCs w:val="24"/>
        </w:rPr>
        <w:t>Obszar gminy Góra Kalwaria posiada wystarczającą infrastrukturę energetyczną do zaopatrywania mieszkańców oraz ulokowanych tam przedsiębiorstw w niezbędne ilości energii. Nie zmienia to faktu, że pojawia się konieczność ponoszenia kosztów związanych z unowocześnianiem infrastruktury (nowe technologie, zmiany prawa dotyczące zaostrzania wymogów związanych z wpływem na środowisko, itp.). Trzeba też zauważyć, że na terenie gminy Góra Kalwaria istnieją sprzyjające warunki dla rozwoju energetyki opartej o odnawialne źródła;</w:t>
      </w:r>
    </w:p>
    <w:p w14:paraId="128AA0BE" w14:textId="77777777" w:rsidR="005761B6" w:rsidRPr="00717BC7" w:rsidRDefault="005761B6">
      <w:pPr>
        <w:pStyle w:val="Akapitzlist"/>
        <w:numPr>
          <w:ilvl w:val="0"/>
          <w:numId w:val="30"/>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Jednym z kluczowych celów gminy Góra Kalwaria jest eliminacja źródeł zanieczyszczeń niskiej emisji. Rozwój systemów OZE na terenie gminy jest na wstępnym etapie zaawansowania. </w:t>
      </w:r>
    </w:p>
    <w:p w14:paraId="6B455C62"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5EF600C1"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Stopień wykorzystania odnawialnych źródeł energii i plany w tym zakresie;</w:t>
      </w:r>
    </w:p>
    <w:p w14:paraId="1E87CE59" w14:textId="77777777" w:rsidR="005761B6" w:rsidRPr="00717BC7" w:rsidRDefault="005761B6">
      <w:pPr>
        <w:pStyle w:val="Akapitzlist"/>
        <w:numPr>
          <w:ilvl w:val="0"/>
          <w:numId w:val="31"/>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W zakresie energetyki wskazać można na koniczność dalszego rozwoju sieci gazowniczej, brak sieci ciepłowniczej na znacznych obszarach miasta, brak znaczących instalacji wykorzystujących odnawialne źródła energii, występowanie istotnych źródeł pola elektromagnetycznego. </w:t>
      </w:r>
    </w:p>
    <w:p w14:paraId="5B03E4D4" w14:textId="77777777" w:rsidR="005761B6" w:rsidRPr="00717BC7" w:rsidRDefault="005761B6" w:rsidP="005761B6">
      <w:pPr>
        <w:autoSpaceDE w:val="0"/>
        <w:autoSpaceDN w:val="0"/>
        <w:adjustRightInd w:val="0"/>
        <w:spacing w:after="0"/>
        <w:jc w:val="both"/>
        <w:rPr>
          <w:rFonts w:ascii="Times New Roman" w:hAnsi="Times New Roman" w:cs="Times New Roman"/>
          <w:i/>
          <w:sz w:val="24"/>
          <w:szCs w:val="24"/>
        </w:rPr>
      </w:pPr>
    </w:p>
    <w:p w14:paraId="3F6E7135"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Gospodarka odpadami, selektywna zbiórka odpadów;</w:t>
      </w:r>
    </w:p>
    <w:p w14:paraId="0AF9D014" w14:textId="77777777" w:rsidR="005761B6" w:rsidRPr="00717BC7" w:rsidRDefault="005761B6">
      <w:pPr>
        <w:pStyle w:val="Akapitzlist"/>
        <w:numPr>
          <w:ilvl w:val="0"/>
          <w:numId w:val="31"/>
        </w:numPr>
        <w:autoSpaceDE w:val="0"/>
        <w:autoSpaceDN w:val="0"/>
        <w:adjustRightInd w:val="0"/>
        <w:spacing w:after="0" w:line="276" w:lineRule="auto"/>
        <w:ind w:left="426" w:hanging="426"/>
        <w:jc w:val="both"/>
        <w:rPr>
          <w:rFonts w:ascii="Times New Roman" w:hAnsi="Times New Roman" w:cs="Times New Roman"/>
          <w:i/>
          <w:sz w:val="24"/>
          <w:szCs w:val="24"/>
        </w:rPr>
      </w:pPr>
      <w:r w:rsidRPr="00717BC7">
        <w:rPr>
          <w:rFonts w:ascii="Times New Roman" w:hAnsi="Times New Roman" w:cs="Times New Roman"/>
          <w:sz w:val="24"/>
          <w:szCs w:val="24"/>
        </w:rPr>
        <w:t xml:space="preserve">W gminie Góra Kalwaria zarówno mieście jak i na obszarach wiejskich w 2020 masa zebranych odpadów komunalnych w przeliczeniu na jednego mieszkańca była wyraźnie wyższa niż średnio w Polsce i województwie mazowieckim na odnośnych terenach. Wyraźnie wyższy wskaźnik selektywnej zbiórki odpadów niż na odnośnych terenach Polski i województwa mazowieckiego i większa masa komunalnych odpadów stałych per capita zbieranych w gminie wynika z lepiej zorganizowanego systemu ich zbierania. Problematyka utylizacji odpadów lokalnych jest jednym z priorytetów polityki lokalnej, o </w:t>
      </w:r>
      <w:r w:rsidRPr="00717BC7">
        <w:rPr>
          <w:rFonts w:ascii="Times New Roman" w:hAnsi="Times New Roman" w:cs="Times New Roman"/>
          <w:sz w:val="24"/>
          <w:szCs w:val="24"/>
        </w:rPr>
        <w:lastRenderedPageBreak/>
        <w:t>czym świadczą informacje zawarte w raportach o stanie gminy i analizach stanu gospodarki odpadami.</w:t>
      </w:r>
    </w:p>
    <w:p w14:paraId="2CB0503B" w14:textId="77777777" w:rsidR="005761B6" w:rsidRPr="00717BC7" w:rsidRDefault="005761B6" w:rsidP="005761B6">
      <w:pPr>
        <w:rPr>
          <w:rFonts w:ascii="Times New Roman" w:hAnsi="Times New Roman" w:cs="Times New Roman"/>
          <w:sz w:val="24"/>
          <w:szCs w:val="24"/>
          <w:u w:val="single"/>
        </w:rPr>
      </w:pPr>
    </w:p>
    <w:p w14:paraId="0302AD6C"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Zasklepienie gruntów</w:t>
      </w:r>
      <w:r w:rsidRPr="00717BC7">
        <w:rPr>
          <w:rFonts w:ascii="Times New Roman" w:hAnsi="Times New Roman" w:cs="Times New Roman"/>
          <w:bCs/>
          <w:sz w:val="24"/>
          <w:szCs w:val="24"/>
          <w:u w:val="single"/>
        </w:rPr>
        <w:t>;</w:t>
      </w:r>
      <w:r w:rsidRPr="00717BC7">
        <w:rPr>
          <w:rFonts w:ascii="Times New Roman" w:hAnsi="Times New Roman" w:cs="Times New Roman"/>
          <w:b/>
          <w:sz w:val="24"/>
          <w:szCs w:val="24"/>
          <w:u w:val="single"/>
        </w:rPr>
        <w:t xml:space="preserve"> </w:t>
      </w:r>
    </w:p>
    <w:p w14:paraId="18C3AE60" w14:textId="77777777" w:rsidR="005761B6" w:rsidRPr="00717BC7" w:rsidRDefault="005761B6">
      <w:pPr>
        <w:pStyle w:val="Akapitzlist"/>
        <w:numPr>
          <w:ilvl w:val="0"/>
          <w:numId w:val="3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„Wytyczne dotyczące najlepszych praktyk w zakresie ograniczania, łagodzenia i kompensowania procesu zasklepiania gleby”, w 2006 r. wskazują, iż na terenie powiatów okalających Warszawę grunty zasklepione miałyby zajmować, średnio, od 4% do 6% ogólnej powierzchni. Szacunki wskazują, iż grunty zasklepione obejmują ok. 2% powierzchni gminy Góra Kalwaria. Zjawisko to jednak miejscowo na terenie gminy występuje w znacznym nasileniu i wymaga pilnych działań ograniczających.</w:t>
      </w:r>
    </w:p>
    <w:p w14:paraId="26055DD0" w14:textId="77777777" w:rsidR="005761B6" w:rsidRPr="00717BC7" w:rsidRDefault="005761B6" w:rsidP="005761B6">
      <w:pPr>
        <w:spacing w:after="0"/>
        <w:ind w:firstLine="360"/>
        <w:jc w:val="both"/>
        <w:rPr>
          <w:rFonts w:ascii="Times New Roman" w:eastAsiaTheme="majorEastAsia" w:hAnsi="Times New Roman" w:cs="Times New Roman"/>
          <w:bCs/>
          <w:sz w:val="24"/>
          <w:szCs w:val="24"/>
        </w:rPr>
      </w:pPr>
      <w:r w:rsidRPr="00717BC7">
        <w:rPr>
          <w:rFonts w:ascii="Times New Roman" w:eastAsiaTheme="majorEastAsia" w:hAnsi="Times New Roman" w:cs="Times New Roman"/>
          <w:bCs/>
          <w:sz w:val="24"/>
          <w:szCs w:val="24"/>
        </w:rPr>
        <w:t xml:space="preserve"> </w:t>
      </w:r>
    </w:p>
    <w:p w14:paraId="36ECC33D" w14:textId="182F606A" w:rsidR="005761B6" w:rsidRPr="00717BC7" w:rsidRDefault="005761B6" w:rsidP="005761B6">
      <w:pPr>
        <w:pStyle w:val="Nagwek1"/>
        <w:spacing w:before="0"/>
        <w:rPr>
          <w:rFonts w:ascii="Times New Roman" w:hAnsi="Times New Roman" w:cs="Times New Roman"/>
          <w:b/>
          <w:bCs/>
          <w:color w:val="auto"/>
          <w:sz w:val="24"/>
          <w:szCs w:val="24"/>
          <w:u w:val="single"/>
        </w:rPr>
      </w:pPr>
      <w:bookmarkStart w:id="8" w:name="_Toc109901016"/>
      <w:r w:rsidRPr="00717BC7">
        <w:rPr>
          <w:rFonts w:ascii="Times New Roman" w:hAnsi="Times New Roman" w:cs="Times New Roman"/>
          <w:b/>
          <w:bCs/>
          <w:color w:val="auto"/>
          <w:sz w:val="24"/>
          <w:szCs w:val="24"/>
          <w:u w:val="single"/>
        </w:rPr>
        <w:t>Kultura i dziedzictwo kulturowe</w:t>
      </w:r>
      <w:bookmarkEnd w:id="8"/>
    </w:p>
    <w:p w14:paraId="340ACA5C" w14:textId="77777777" w:rsidR="005761B6" w:rsidRPr="00717BC7" w:rsidRDefault="005761B6" w:rsidP="005761B6">
      <w:pPr>
        <w:rPr>
          <w:rFonts w:ascii="Times New Roman" w:hAnsi="Times New Roman" w:cs="Times New Roman"/>
          <w:b/>
          <w:sz w:val="24"/>
          <w:szCs w:val="24"/>
          <w:u w:val="single"/>
        </w:rPr>
      </w:pPr>
    </w:p>
    <w:p w14:paraId="1D02050A" w14:textId="77777777" w:rsidR="005761B6" w:rsidRPr="00717BC7" w:rsidRDefault="005761B6" w:rsidP="005761B6">
      <w:pPr>
        <w:rPr>
          <w:rFonts w:ascii="Times New Roman" w:hAnsi="Times New Roman" w:cs="Times New Roman"/>
          <w:b/>
          <w:sz w:val="24"/>
          <w:szCs w:val="24"/>
          <w:u w:val="single"/>
        </w:rPr>
      </w:pPr>
      <w:r w:rsidRPr="00717BC7">
        <w:rPr>
          <w:rFonts w:ascii="Times New Roman" w:hAnsi="Times New Roman" w:cs="Times New Roman"/>
          <w:sz w:val="24"/>
          <w:szCs w:val="24"/>
          <w:u w:val="single"/>
        </w:rPr>
        <w:t>Instytucje kultury i ich działalność; Poziom uczestnictwa w kulturze;</w:t>
      </w:r>
    </w:p>
    <w:p w14:paraId="71880D66" w14:textId="6C5A2F40" w:rsidR="005761B6" w:rsidRPr="00717BC7" w:rsidRDefault="005761B6">
      <w:pPr>
        <w:pStyle w:val="Akapitzlist"/>
        <w:numPr>
          <w:ilvl w:val="0"/>
          <w:numId w:val="3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W latach 2015-2020 w gminie Góra Kalwaria funkcjonował jeden ośrodek kultury zlokalizowany w mieście. Organizowano tam w latach po około sto imprez rocznie. W imprezach organizowanych przez ośrodek kultury w gminie Góra Kalwaria brało udział po ponad 35 tysięcy osób rocznie. Aktywność ośrodka kultury ujmowana poprzez liczbę uczestników imprez w przeliczeniu na 1000 mieszkańców była niemal w całym okresie wyższa niż średnio w województwie mazowieckim i średnio w kraju. Ponadto znaczącą rolę w życiu kulturalnym pełniła także Gminna Biblioteka Publiczna w Górze Kalwarii; </w:t>
      </w:r>
    </w:p>
    <w:p w14:paraId="0B76E7D0" w14:textId="3A68D36E" w:rsidR="005761B6" w:rsidRPr="00717BC7" w:rsidRDefault="005761B6">
      <w:pPr>
        <w:pStyle w:val="Akapitzlist"/>
        <w:numPr>
          <w:ilvl w:val="0"/>
          <w:numId w:val="31"/>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W latach 2015-2020 w ośrodku kultury działało kilkanaście grup artystycznych, posiadających po około 200-300 członków. Na terenie gminy Góra Kalwaria działało ok. 20 kół, klubów i sekcji kulturalnych, w których pracowało, w zależności od roku obserwacji, od ok. 300 do 600 osób. Na podkreślenie zasługuje także wysoki stopień aktywizacji osób w wieku 60 lat i więcej w stosunku do ogólnej liczby ludności w tym wieku, będących członkami placówek kulturalno-oświatowych. </w:t>
      </w:r>
    </w:p>
    <w:p w14:paraId="6BA7BD73"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1D1BC909"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Uwarunkowania historyczne, obiekty zabytkowe, ich stan, dostępność i sposób wykorzystania;</w:t>
      </w:r>
    </w:p>
    <w:p w14:paraId="4DFC133E" w14:textId="77777777" w:rsidR="005761B6" w:rsidRPr="00717BC7" w:rsidRDefault="005761B6">
      <w:pPr>
        <w:pStyle w:val="Akapitzlist"/>
        <w:numPr>
          <w:ilvl w:val="0"/>
          <w:numId w:val="32"/>
        </w:numPr>
        <w:autoSpaceDE w:val="0"/>
        <w:autoSpaceDN w:val="0"/>
        <w:adjustRightInd w:val="0"/>
        <w:spacing w:after="0" w:line="276" w:lineRule="auto"/>
        <w:ind w:left="426"/>
        <w:jc w:val="both"/>
        <w:rPr>
          <w:rFonts w:ascii="Times New Roman" w:hAnsi="Times New Roman" w:cs="Times New Roman"/>
          <w:i/>
          <w:sz w:val="24"/>
          <w:szCs w:val="24"/>
        </w:rPr>
      </w:pPr>
      <w:r w:rsidRPr="00717BC7">
        <w:rPr>
          <w:rFonts w:ascii="Times New Roman" w:hAnsi="Times New Roman" w:cs="Times New Roman"/>
          <w:sz w:val="24"/>
          <w:szCs w:val="24"/>
        </w:rPr>
        <w:t>Gmina Góra Kalwaria może poszczycić się niezwykle bogatą przeszłością historyczną, wyróżniającą ten obszar nie tylko w skali lokalnej czy regionalnej, ale również w skali ogólnopolskiej i międzynarodowej. Przeszłość ta tworzyła i tworzy nadal znaczące niezwykle korzystne uwarunkowania rozwoju społeczno-gospodarczego gminy. Bogata w spektakularne wydarzenia i wyraziste osobowości historia jest przedmiotem wielu opracowań, w tym o charakterze turystyczno-krajoznawczym. Dziedzictwo historyczne determinuje współczesne działania władz i społeczności lokalnej. Wykorzystanie tego potencjału powinno zostać zintensyfikowane.</w:t>
      </w:r>
    </w:p>
    <w:p w14:paraId="5A7B1B79"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3FD9C4A7"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Lokalne dziedzictwo niematerialne;</w:t>
      </w:r>
    </w:p>
    <w:p w14:paraId="205A1063" w14:textId="77777777" w:rsidR="005761B6" w:rsidRPr="00717BC7" w:rsidRDefault="005761B6">
      <w:pPr>
        <w:pStyle w:val="Akapitzlist"/>
        <w:numPr>
          <w:ilvl w:val="0"/>
          <w:numId w:val="32"/>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lastRenderedPageBreak/>
        <w:t>Gmina Góra Kalwaria, ze względu na jej historyczną przeszłość kształtowała wprost oraz pośrednio kreowała wartości lokalnego dziedzictwa kulturalnego o zasięgu ponadlokalnym. Wymienić tu można przede wszystkim:</w:t>
      </w:r>
    </w:p>
    <w:p w14:paraId="3A337803" w14:textId="77777777" w:rsidR="005761B6" w:rsidRPr="00717BC7" w:rsidRDefault="005761B6">
      <w:pPr>
        <w:pStyle w:val="Akapitzlist"/>
        <w:numPr>
          <w:ilvl w:val="0"/>
          <w:numId w:val="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wytwarzanie tożsamości lokalnej z perspektywą ciągłości historycznej (Czersk i m.in. </w:t>
      </w:r>
      <w:r w:rsidRPr="00717BC7">
        <w:rPr>
          <w:rFonts w:ascii="Times New Roman" w:eastAsia="Times New Roman" w:hAnsi="Times New Roman" w:cs="Times New Roman"/>
          <w:bCs/>
          <w:sz w:val="24"/>
          <w:szCs w:val="24"/>
          <w:lang w:eastAsia="pl-PL"/>
        </w:rPr>
        <w:t>Bona Sforza</w:t>
      </w:r>
      <w:r w:rsidRPr="00717BC7">
        <w:rPr>
          <w:rFonts w:ascii="Times New Roman" w:eastAsia="Times New Roman" w:hAnsi="Times New Roman" w:cs="Times New Roman"/>
          <w:sz w:val="24"/>
          <w:szCs w:val="24"/>
          <w:lang w:eastAsia="pl-PL"/>
        </w:rPr>
        <w:t xml:space="preserve"> 1494–1557, </w:t>
      </w:r>
      <w:r w:rsidRPr="00717BC7">
        <w:rPr>
          <w:rFonts w:ascii="Times New Roman" w:eastAsia="Times New Roman" w:hAnsi="Times New Roman" w:cs="Times New Roman"/>
          <w:bCs/>
          <w:sz w:val="24"/>
          <w:szCs w:val="24"/>
          <w:lang w:eastAsia="pl-PL"/>
        </w:rPr>
        <w:t>Franciszek Bieliński</w:t>
      </w:r>
      <w:r w:rsidRPr="00717BC7">
        <w:rPr>
          <w:rFonts w:ascii="Times New Roman" w:eastAsia="Times New Roman" w:hAnsi="Times New Roman" w:cs="Times New Roman"/>
          <w:sz w:val="24"/>
          <w:szCs w:val="24"/>
          <w:lang w:eastAsia="pl-PL"/>
        </w:rPr>
        <w:t xml:space="preserve"> 1683–1766)) </w:t>
      </w:r>
      <w:r w:rsidRPr="00717BC7">
        <w:rPr>
          <w:rFonts w:ascii="Times New Roman" w:hAnsi="Times New Roman" w:cs="Times New Roman"/>
          <w:sz w:val="24"/>
          <w:szCs w:val="24"/>
        </w:rPr>
        <w:t>na bazie wyróżniającego się osadnictwa, począwszy od wczesnego średniowiecza;</w:t>
      </w:r>
    </w:p>
    <w:p w14:paraId="638FE0F5" w14:textId="77777777" w:rsidR="005761B6" w:rsidRPr="00717BC7" w:rsidRDefault="005761B6">
      <w:pPr>
        <w:pStyle w:val="Akapitzlist"/>
        <w:numPr>
          <w:ilvl w:val="0"/>
          <w:numId w:val="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tworzenie katolickiego religijnego ruchu pielgrzymkowego począwszy od wieku XVII (</w:t>
      </w:r>
      <w:r w:rsidRPr="00717BC7">
        <w:rPr>
          <w:rFonts w:ascii="Times New Roman" w:eastAsia="Times New Roman" w:hAnsi="Times New Roman" w:cs="Times New Roman"/>
          <w:bCs/>
          <w:sz w:val="24"/>
          <w:szCs w:val="24"/>
          <w:lang w:eastAsia="pl-PL"/>
        </w:rPr>
        <w:t>bp Stefan Wierzbowski</w:t>
      </w:r>
      <w:r w:rsidRPr="00717BC7">
        <w:rPr>
          <w:rFonts w:ascii="Times New Roman" w:eastAsia="Times New Roman" w:hAnsi="Times New Roman" w:cs="Times New Roman"/>
          <w:sz w:val="24"/>
          <w:szCs w:val="24"/>
          <w:lang w:eastAsia="pl-PL"/>
        </w:rPr>
        <w:t xml:space="preserve"> 1619 lub 1620 – 1687, </w:t>
      </w:r>
      <w:r w:rsidRPr="00717BC7">
        <w:rPr>
          <w:rFonts w:ascii="Times New Roman" w:hAnsi="Times New Roman" w:cs="Times New Roman"/>
          <w:sz w:val="24"/>
          <w:szCs w:val="24"/>
        </w:rPr>
        <w:t>Nowa Jerozolima) – m.in. poprzez ufundowanie, działalność i rozwój zakonu Marianów (</w:t>
      </w:r>
      <w:r w:rsidRPr="00717BC7">
        <w:rPr>
          <w:rFonts w:ascii="Times New Roman" w:eastAsia="Times New Roman" w:hAnsi="Times New Roman" w:cs="Times New Roman"/>
          <w:bCs/>
          <w:sz w:val="24"/>
          <w:szCs w:val="24"/>
          <w:lang w:eastAsia="pl-PL"/>
        </w:rPr>
        <w:t>św. o. Stanisław Papczyński</w:t>
      </w:r>
      <w:r w:rsidRPr="00717BC7">
        <w:rPr>
          <w:rFonts w:ascii="Times New Roman" w:eastAsia="Times New Roman" w:hAnsi="Times New Roman" w:cs="Times New Roman"/>
          <w:sz w:val="24"/>
          <w:szCs w:val="24"/>
          <w:lang w:eastAsia="pl-PL"/>
        </w:rPr>
        <w:t> (1631–1701);</w:t>
      </w:r>
    </w:p>
    <w:p w14:paraId="21B5F6FD" w14:textId="77777777" w:rsidR="005761B6" w:rsidRPr="00717BC7" w:rsidRDefault="005761B6">
      <w:pPr>
        <w:pStyle w:val="Akapitzlist"/>
        <w:numPr>
          <w:ilvl w:val="0"/>
          <w:numId w:val="6"/>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współtworzenie chasydzkiej kultury religijnej o zasięgu światowym, zniszczonej w Europie przez hitlerowskie Niemcy w czasie II wojny światowej, Wyrazem tego była m.in. działalność wybitnych postaci np. - </w:t>
      </w:r>
      <w:r w:rsidRPr="00717BC7">
        <w:rPr>
          <w:rFonts w:ascii="Times New Roman" w:eastAsia="Times New Roman" w:hAnsi="Times New Roman" w:cs="Times New Roman"/>
          <w:bCs/>
          <w:sz w:val="24"/>
          <w:szCs w:val="24"/>
          <w:lang w:eastAsia="pl-PL"/>
        </w:rPr>
        <w:t>Abraham Mordechaj Alter</w:t>
      </w:r>
      <w:r w:rsidRPr="00717BC7">
        <w:rPr>
          <w:rFonts w:ascii="Times New Roman" w:eastAsia="Times New Roman" w:hAnsi="Times New Roman" w:cs="Times New Roman"/>
          <w:sz w:val="24"/>
          <w:szCs w:val="24"/>
          <w:lang w:eastAsia="pl-PL"/>
        </w:rPr>
        <w:t xml:space="preserve"> (1866–1948) będący przez 40 lat słynnym Cadykiem dynastii Alterów założonej właśnie w Górze Kalwarii. </w:t>
      </w:r>
    </w:p>
    <w:p w14:paraId="5CD11589"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5C340980" w14:textId="77777777" w:rsidR="005761B6" w:rsidRPr="00717BC7" w:rsidRDefault="005761B6" w:rsidP="005761B6">
      <w:pPr>
        <w:rPr>
          <w:rFonts w:ascii="Times New Roman" w:eastAsia="Times New Roman" w:hAnsi="Times New Roman" w:cs="Times New Roman"/>
          <w:sz w:val="24"/>
          <w:szCs w:val="24"/>
          <w:lang w:eastAsia="pl-PL"/>
        </w:rPr>
      </w:pPr>
      <w:r w:rsidRPr="00717BC7">
        <w:rPr>
          <w:rFonts w:ascii="Times New Roman" w:hAnsi="Times New Roman" w:cs="Times New Roman"/>
          <w:sz w:val="24"/>
          <w:szCs w:val="24"/>
          <w:u w:val="single"/>
        </w:rPr>
        <w:t>Znani twórcy i inne postaci świata kultury związane z gminą</w:t>
      </w:r>
      <w:r w:rsidRPr="00717BC7">
        <w:rPr>
          <w:rFonts w:ascii="Times New Roman" w:hAnsi="Times New Roman" w:cs="Times New Roman"/>
          <w:bCs/>
          <w:sz w:val="24"/>
          <w:szCs w:val="24"/>
          <w:u w:val="single"/>
        </w:rPr>
        <w:t xml:space="preserve">; </w:t>
      </w:r>
    </w:p>
    <w:p w14:paraId="535D6072" w14:textId="77777777" w:rsidR="005761B6" w:rsidRPr="00717BC7" w:rsidRDefault="005761B6">
      <w:pPr>
        <w:pStyle w:val="Akapitzlist"/>
        <w:numPr>
          <w:ilvl w:val="0"/>
          <w:numId w:val="33"/>
        </w:numPr>
        <w:shd w:val="clear" w:color="auto" w:fill="FFFFFF"/>
        <w:spacing w:after="0" w:line="276" w:lineRule="auto"/>
        <w:jc w:val="both"/>
        <w:rPr>
          <w:rFonts w:ascii="Times New Roman" w:eastAsia="Times New Roman" w:hAnsi="Times New Roman" w:cs="Times New Roman"/>
          <w:bCs/>
          <w:sz w:val="24"/>
          <w:szCs w:val="24"/>
          <w:lang w:eastAsia="pl-PL"/>
        </w:rPr>
      </w:pPr>
      <w:r w:rsidRPr="00717BC7">
        <w:rPr>
          <w:rFonts w:ascii="Times New Roman" w:eastAsia="Times New Roman" w:hAnsi="Times New Roman" w:cs="Times New Roman"/>
          <w:bCs/>
          <w:sz w:val="24"/>
          <w:szCs w:val="24"/>
          <w:lang w:eastAsia="pl-PL"/>
        </w:rPr>
        <w:t>Z obszarem gminy Góra Kalwaria związanych było życiem i działalności wiele wybitnych postaci historycznych. Były to m.in.: Bona Sforza</w:t>
      </w:r>
      <w:r w:rsidRPr="00717BC7">
        <w:rPr>
          <w:rFonts w:ascii="Times New Roman" w:eastAsia="Times New Roman" w:hAnsi="Times New Roman" w:cs="Times New Roman"/>
          <w:sz w:val="24"/>
          <w:szCs w:val="24"/>
          <w:lang w:eastAsia="pl-PL"/>
        </w:rPr>
        <w:t> (1494–1557), Królowa Polski,</w:t>
      </w:r>
      <w:r w:rsidRPr="00717BC7">
        <w:rPr>
          <w:rFonts w:ascii="Times New Roman" w:eastAsia="Times New Roman" w:hAnsi="Times New Roman" w:cs="Times New Roman"/>
          <w:bCs/>
          <w:sz w:val="24"/>
          <w:szCs w:val="24"/>
          <w:lang w:eastAsia="pl-PL"/>
        </w:rPr>
        <w:t xml:space="preserve"> bp Stefan Wierzbowski</w:t>
      </w:r>
      <w:r w:rsidRPr="00717BC7">
        <w:rPr>
          <w:rFonts w:ascii="Times New Roman" w:eastAsia="Times New Roman" w:hAnsi="Times New Roman" w:cs="Times New Roman"/>
          <w:sz w:val="24"/>
          <w:szCs w:val="24"/>
          <w:lang w:eastAsia="pl-PL"/>
        </w:rPr>
        <w:t xml:space="preserve"> (1619 lub 1620 – 1687) założyciel i fundator Nowej Jerozolimy, późniejszej Góry Kalwarii, </w:t>
      </w:r>
      <w:r w:rsidRPr="00717BC7">
        <w:rPr>
          <w:rFonts w:ascii="Times New Roman" w:eastAsia="Times New Roman" w:hAnsi="Times New Roman" w:cs="Times New Roman"/>
          <w:bCs/>
          <w:sz w:val="24"/>
          <w:szCs w:val="24"/>
          <w:lang w:eastAsia="pl-PL"/>
        </w:rPr>
        <w:t>św. o. Stanisław Papczyński</w:t>
      </w:r>
      <w:r w:rsidRPr="00717BC7">
        <w:rPr>
          <w:rFonts w:ascii="Times New Roman" w:eastAsia="Times New Roman" w:hAnsi="Times New Roman" w:cs="Times New Roman"/>
          <w:sz w:val="24"/>
          <w:szCs w:val="24"/>
          <w:lang w:eastAsia="pl-PL"/>
        </w:rPr>
        <w:t xml:space="preserve"> (1631–1701), </w:t>
      </w:r>
      <w:r w:rsidRPr="00717BC7">
        <w:rPr>
          <w:rFonts w:ascii="Times New Roman" w:eastAsia="Times New Roman" w:hAnsi="Times New Roman" w:cs="Times New Roman"/>
          <w:bCs/>
          <w:sz w:val="24"/>
          <w:szCs w:val="24"/>
          <w:lang w:eastAsia="pl-PL"/>
        </w:rPr>
        <w:t>Franciszek Bieliński</w:t>
      </w:r>
      <w:r w:rsidRPr="00717BC7">
        <w:rPr>
          <w:rFonts w:ascii="Times New Roman" w:eastAsia="Times New Roman" w:hAnsi="Times New Roman" w:cs="Times New Roman"/>
          <w:sz w:val="24"/>
          <w:szCs w:val="24"/>
          <w:lang w:eastAsia="pl-PL"/>
        </w:rPr>
        <w:t xml:space="preserve"> (1683–1766) - Marszałek wielki koronny, fundator kościoła Niepokalanego Poczęcia NMP w Górze Kalwarii, założyciel Zgromadzenia Księży Marianów, pierwszego męskiego zakonu utworzonego na ziemiach polskich, </w:t>
      </w:r>
      <w:r w:rsidRPr="00717BC7">
        <w:rPr>
          <w:rFonts w:ascii="Times New Roman" w:eastAsia="Times New Roman" w:hAnsi="Times New Roman" w:cs="Times New Roman"/>
          <w:bCs/>
          <w:sz w:val="24"/>
          <w:szCs w:val="24"/>
          <w:lang w:eastAsia="pl-PL"/>
        </w:rPr>
        <w:t>Abraham Mordechaj Alter</w:t>
      </w:r>
      <w:r w:rsidRPr="00717BC7">
        <w:rPr>
          <w:rFonts w:ascii="Times New Roman" w:eastAsia="Times New Roman" w:hAnsi="Times New Roman" w:cs="Times New Roman"/>
          <w:sz w:val="24"/>
          <w:szCs w:val="24"/>
          <w:lang w:eastAsia="pl-PL"/>
        </w:rPr>
        <w:t xml:space="preserve"> (1866–1948), przez ponad 40 lat cadyk, czyli przywódca religijny, żydowskiej (a konkretnie chasydzkiej) dynastii Ger (dynastii Alterów), założonej w Górze Kalwarii, </w:t>
      </w:r>
      <w:r w:rsidRPr="00717BC7">
        <w:rPr>
          <w:rFonts w:ascii="Times New Roman" w:eastAsia="Times New Roman" w:hAnsi="Times New Roman" w:cs="Times New Roman"/>
          <w:bCs/>
          <w:sz w:val="24"/>
          <w:szCs w:val="24"/>
          <w:lang w:eastAsia="pl-PL"/>
        </w:rPr>
        <w:t>bł. ks. Zygmunt Sajna</w:t>
      </w:r>
      <w:r w:rsidRPr="00717BC7">
        <w:rPr>
          <w:rFonts w:ascii="Times New Roman" w:eastAsia="Times New Roman" w:hAnsi="Times New Roman" w:cs="Times New Roman"/>
          <w:sz w:val="24"/>
          <w:szCs w:val="24"/>
          <w:lang w:eastAsia="pl-PL"/>
        </w:rPr>
        <w:t xml:space="preserve"> (1897–1940), proboszcz rzymskokatolickiej parafii w Górze Kalwarii w latach 1938–1940, </w:t>
      </w:r>
      <w:r w:rsidRPr="00717BC7">
        <w:rPr>
          <w:rFonts w:ascii="Times New Roman" w:eastAsia="Times New Roman" w:hAnsi="Times New Roman" w:cs="Times New Roman"/>
          <w:bCs/>
          <w:sz w:val="24"/>
          <w:szCs w:val="24"/>
          <w:lang w:eastAsia="pl-PL"/>
        </w:rPr>
        <w:t>Wolf Messing</w:t>
      </w:r>
      <w:r w:rsidRPr="00717BC7">
        <w:rPr>
          <w:rFonts w:ascii="Times New Roman" w:eastAsia="Times New Roman" w:hAnsi="Times New Roman" w:cs="Times New Roman"/>
          <w:sz w:val="24"/>
          <w:szCs w:val="24"/>
          <w:lang w:eastAsia="pl-PL"/>
        </w:rPr>
        <w:t xml:space="preserve"> (1899–1974), słynny jasnowidz, telepata i hipnotyzer, </w:t>
      </w:r>
      <w:r w:rsidRPr="00717BC7">
        <w:rPr>
          <w:rFonts w:ascii="Times New Roman" w:eastAsia="Times New Roman" w:hAnsi="Times New Roman" w:cs="Times New Roman"/>
          <w:bCs/>
          <w:sz w:val="24"/>
          <w:szCs w:val="24"/>
          <w:lang w:eastAsia="pl-PL"/>
        </w:rPr>
        <w:t>Adolf Dymsza</w:t>
      </w:r>
      <w:r w:rsidRPr="00717BC7">
        <w:rPr>
          <w:rFonts w:ascii="Times New Roman" w:eastAsia="Times New Roman" w:hAnsi="Times New Roman" w:cs="Times New Roman"/>
          <w:sz w:val="24"/>
          <w:szCs w:val="24"/>
          <w:lang w:eastAsia="pl-PL"/>
        </w:rPr>
        <w:t xml:space="preserve"> (1900–1975), aktor filmowy i teatralny, artysta kabaretowy w Górze Kalwarii spędził ostatnie miesiące życia, </w:t>
      </w:r>
      <w:r w:rsidRPr="00717BC7">
        <w:rPr>
          <w:rFonts w:ascii="Times New Roman" w:eastAsia="Times New Roman" w:hAnsi="Times New Roman" w:cs="Times New Roman"/>
          <w:bCs/>
          <w:sz w:val="24"/>
          <w:szCs w:val="24"/>
          <w:lang w:eastAsia="pl-PL"/>
        </w:rPr>
        <w:t>Henryk Prajs</w:t>
      </w:r>
      <w:r w:rsidRPr="00717BC7">
        <w:rPr>
          <w:rFonts w:ascii="Times New Roman" w:eastAsia="Times New Roman" w:hAnsi="Times New Roman" w:cs="Times New Roman"/>
          <w:sz w:val="24"/>
          <w:szCs w:val="24"/>
          <w:lang w:eastAsia="pl-PL"/>
        </w:rPr>
        <w:t xml:space="preserve"> (1916–2018), porucznik Wojska Polskiego, uczestnik wojny obronnej w 1939 roku, w Górze Kalwarii się urodził i zmarł, jako ostatni miejscowy przedstawiciel przedwojennej lokalnej społeczności żydowskiej oraz ostatni szwoleżer II Rzeczypospolitej, </w:t>
      </w:r>
      <w:r w:rsidRPr="00717BC7">
        <w:rPr>
          <w:rFonts w:ascii="Times New Roman" w:eastAsia="Times New Roman" w:hAnsi="Times New Roman" w:cs="Times New Roman"/>
          <w:bCs/>
          <w:sz w:val="24"/>
          <w:szCs w:val="24"/>
          <w:lang w:eastAsia="pl-PL"/>
        </w:rPr>
        <w:t>Witold Pyrkosz</w:t>
      </w:r>
      <w:r w:rsidRPr="00717BC7">
        <w:rPr>
          <w:rFonts w:ascii="Times New Roman" w:eastAsia="Times New Roman" w:hAnsi="Times New Roman" w:cs="Times New Roman"/>
          <w:sz w:val="24"/>
          <w:szCs w:val="24"/>
          <w:lang w:eastAsia="pl-PL"/>
        </w:rPr>
        <w:t> (1926–2017), wybitny aktor, ale także działacz samorządowy.</w:t>
      </w:r>
    </w:p>
    <w:p w14:paraId="4049D34D"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6B3BFB4D" w14:textId="3385390C" w:rsidR="005761B6" w:rsidRPr="00717BC7" w:rsidRDefault="005761B6" w:rsidP="005761B6">
      <w:pPr>
        <w:pStyle w:val="Nagwek1"/>
        <w:spacing w:before="0"/>
        <w:rPr>
          <w:rFonts w:ascii="Times New Roman" w:hAnsi="Times New Roman" w:cs="Times New Roman"/>
          <w:b/>
          <w:bCs/>
          <w:color w:val="auto"/>
          <w:sz w:val="24"/>
          <w:szCs w:val="24"/>
          <w:u w:val="single"/>
        </w:rPr>
      </w:pPr>
      <w:bookmarkStart w:id="9" w:name="_Toc109901017"/>
      <w:r w:rsidRPr="00717BC7">
        <w:rPr>
          <w:rFonts w:ascii="Times New Roman" w:hAnsi="Times New Roman" w:cs="Times New Roman"/>
          <w:b/>
          <w:bCs/>
          <w:color w:val="auto"/>
          <w:sz w:val="24"/>
          <w:szCs w:val="24"/>
          <w:u w:val="single"/>
        </w:rPr>
        <w:t>Sport, rekreacja i turystyka</w:t>
      </w:r>
      <w:bookmarkEnd w:id="9"/>
    </w:p>
    <w:p w14:paraId="77249A00" w14:textId="77777777" w:rsidR="005761B6" w:rsidRPr="00717BC7" w:rsidRDefault="005761B6" w:rsidP="005761B6">
      <w:pPr>
        <w:pStyle w:val="Nagwek2"/>
        <w:spacing w:before="0"/>
        <w:jc w:val="both"/>
        <w:rPr>
          <w:rFonts w:ascii="Times New Roman" w:hAnsi="Times New Roman" w:cs="Times New Roman"/>
          <w:b/>
          <w:color w:val="auto"/>
          <w:sz w:val="24"/>
          <w:szCs w:val="24"/>
        </w:rPr>
      </w:pPr>
    </w:p>
    <w:p w14:paraId="5234FAE5" w14:textId="77777777" w:rsidR="005761B6" w:rsidRPr="00717BC7" w:rsidRDefault="005761B6">
      <w:pPr>
        <w:pStyle w:val="Akapitzlist"/>
        <w:numPr>
          <w:ilvl w:val="0"/>
          <w:numId w:val="33"/>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Gmina Góra Kalwaria jest relatywnie dobrze wyposażona w obiekty sportowe. W 2018 znajdowały się w mieście: 2 stadiony, 3 boiska piłkarskie, 3 boiska uniwersalne, wielozadaniowe, 1 hala sportowa duża, dostosowana dla niepełnosprawnych widzów i ćwiczących, 1 hala sportowa mniejsza, 1 pływalnia kryta dostosowana dla niepełnosprawnych widzów i ćwiczących, 1 lodowisko sztucznie mrożone, 1 skatepark, 4 </w:t>
      </w:r>
      <w:r w:rsidRPr="00717BC7">
        <w:rPr>
          <w:rFonts w:ascii="Times New Roman" w:hAnsi="Times New Roman" w:cs="Times New Roman"/>
          <w:sz w:val="24"/>
          <w:szCs w:val="24"/>
        </w:rPr>
        <w:lastRenderedPageBreak/>
        <w:t>siłownie zewnętrzne. Na obszarach wiejskich gminy w 2018 r. statystyka GUS nie wykazywała funkcjonowania obiektów sportowych;</w:t>
      </w:r>
    </w:p>
    <w:p w14:paraId="5589F7A2" w14:textId="77777777" w:rsidR="005761B6" w:rsidRPr="00717BC7" w:rsidRDefault="005761B6">
      <w:pPr>
        <w:pStyle w:val="Akapitzlist"/>
        <w:numPr>
          <w:ilvl w:val="0"/>
          <w:numId w:val="33"/>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Pewnym problemem jest koncentracja obiektów infrastruktury sportowej w mieście, ale kluby sportowe oraz osoby w nich ćwiczące były wykazywane również na obszarach wiejskich gminy. Wskaźnik nasycenia klubami sportowymi był w mieście Góra Kalwaria korzystniejszy niż średnio w kraju i w województwie mazowieckim. Również lepsza sytuacja była tu w zakresie aktywnego zainteresowania sportem i rekreacją sportową. </w:t>
      </w:r>
    </w:p>
    <w:p w14:paraId="28EDF6E4" w14:textId="77777777" w:rsidR="005761B6" w:rsidRPr="00717BC7" w:rsidRDefault="005761B6">
      <w:pPr>
        <w:pStyle w:val="Akapitzlist"/>
        <w:numPr>
          <w:ilvl w:val="0"/>
          <w:numId w:val="34"/>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Obszar gminy Góra Kalwaria wyróżnia się nie tylko w skali województwa mazowieckiego, ale i w skali ogólnopolskiej pod względem atrakcyjności turystycznej. Znajdują się tu nie tylko pojedyncze zabytkowe obiekty materialne, ale całe zabytkowe kompleksy urbanistyczne. Poza tym nadwiślańskie położenie, znaczący udział powierzchni leśnych oraz sadowniczo-ogrodniczy typ rolnictwa tworzą atrakcyjną przestrzeń do rekreacji i wypoczynku; </w:t>
      </w:r>
    </w:p>
    <w:p w14:paraId="4C255807" w14:textId="77777777" w:rsidR="005761B6" w:rsidRPr="00717BC7" w:rsidRDefault="005761B6">
      <w:pPr>
        <w:pStyle w:val="Akapitzlist"/>
        <w:numPr>
          <w:ilvl w:val="0"/>
          <w:numId w:val="34"/>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Relatywnie ograniczone rozmiary przestrzeni i obiektów zabytkowych oraz niewielka potencjalna „turystochłonność” miasta i obszarów wiejskich gminy, przy względnej bliskości Warszawy (30 km) sprawiają, iż jak dotychczas miasto i obszary wiejskie gminy Góra Kalwaria plasują się, jako miejsce turystyki „przejazdowej”, a nie „pobytowej”;</w:t>
      </w:r>
    </w:p>
    <w:p w14:paraId="4FAEDE28" w14:textId="77777777" w:rsidR="005761B6" w:rsidRPr="00717BC7" w:rsidRDefault="005761B6">
      <w:pPr>
        <w:pStyle w:val="Akapitzlist"/>
        <w:numPr>
          <w:ilvl w:val="0"/>
          <w:numId w:val="34"/>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gminie Góra Kalwaria turystyczna baza noclegowa miała bardzo „ekstensywny” charakter. Odpowiadała ukształtowanemu, „przejazdowemu” rodzajowi ruchu turystycznego, który niejako „samoistnie” rozwinął się na terenie gminy. Wydaje się, iż jest to sytuacja nieadekwatna do potencjału atrakcyjności turystycznej tego obszaru wynikającego choćby z wartości historycznej zlokalizowanych tu obiektów i potencjału środowiska naturalnego. W bazie danych statystycznych GUS brak danych o rozmiarach ruchu turystycznego w skali lokalnej.</w:t>
      </w:r>
    </w:p>
    <w:p w14:paraId="028D87AA" w14:textId="77777777" w:rsidR="005761B6" w:rsidRPr="00717BC7" w:rsidRDefault="005761B6" w:rsidP="005761B6">
      <w:pPr>
        <w:spacing w:after="0"/>
        <w:ind w:firstLine="708"/>
        <w:jc w:val="both"/>
        <w:rPr>
          <w:rFonts w:ascii="Times New Roman" w:hAnsi="Times New Roman" w:cs="Times New Roman"/>
          <w:sz w:val="24"/>
          <w:szCs w:val="24"/>
        </w:rPr>
      </w:pPr>
    </w:p>
    <w:p w14:paraId="0A9A4427" w14:textId="3F43192A"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0" w:name="_Toc109901018"/>
      <w:r w:rsidRPr="00717BC7">
        <w:rPr>
          <w:rFonts w:ascii="Times New Roman" w:hAnsi="Times New Roman" w:cs="Times New Roman"/>
          <w:color w:val="auto"/>
          <w:sz w:val="24"/>
          <w:szCs w:val="24"/>
          <w:u w:val="single"/>
        </w:rPr>
        <w:t xml:space="preserve"> </w:t>
      </w:r>
      <w:r w:rsidRPr="00717BC7">
        <w:rPr>
          <w:rFonts w:ascii="Times New Roman" w:hAnsi="Times New Roman" w:cs="Times New Roman"/>
          <w:b/>
          <w:bCs/>
          <w:color w:val="auto"/>
          <w:sz w:val="24"/>
          <w:szCs w:val="24"/>
          <w:u w:val="single"/>
        </w:rPr>
        <w:t>Planowanie i zagospodarowanie przestrzenne</w:t>
      </w:r>
      <w:bookmarkEnd w:id="10"/>
    </w:p>
    <w:p w14:paraId="5B3532E8" w14:textId="77777777" w:rsidR="005761B6" w:rsidRPr="00717BC7" w:rsidRDefault="005761B6" w:rsidP="005761B6">
      <w:pPr>
        <w:pStyle w:val="Nagwek2"/>
        <w:spacing w:before="0"/>
        <w:rPr>
          <w:rFonts w:ascii="Times New Roman" w:hAnsi="Times New Roman" w:cs="Times New Roman"/>
          <w:b/>
          <w:color w:val="auto"/>
          <w:sz w:val="24"/>
          <w:szCs w:val="24"/>
        </w:rPr>
      </w:pPr>
    </w:p>
    <w:p w14:paraId="22EEDB98"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Studium i plany miejscowe – stopień pokrycia obszaru gminy i struktura przeznaczenia terenów;</w:t>
      </w:r>
    </w:p>
    <w:p w14:paraId="406B214C" w14:textId="77777777" w:rsidR="005761B6" w:rsidRPr="00717BC7" w:rsidRDefault="005761B6">
      <w:pPr>
        <w:pStyle w:val="Default"/>
        <w:numPr>
          <w:ilvl w:val="0"/>
          <w:numId w:val="35"/>
        </w:numPr>
        <w:spacing w:line="276" w:lineRule="auto"/>
        <w:ind w:left="426"/>
        <w:jc w:val="both"/>
        <w:rPr>
          <w:rFonts w:ascii="Times New Roman" w:hAnsi="Times New Roman" w:cs="Times New Roman"/>
          <w:color w:val="auto"/>
        </w:rPr>
      </w:pPr>
      <w:r w:rsidRPr="00717BC7">
        <w:rPr>
          <w:rFonts w:ascii="Times New Roman" w:hAnsi="Times New Roman" w:cs="Times New Roman"/>
          <w:color w:val="auto"/>
        </w:rPr>
        <w:t xml:space="preserve">Silna antropopresja w warunkach specyfiki historycznej i środowiska przyrodniczego gminy Góra Kalwaria sprawia, iż planowanie przestrzenne ma na przedmiotowym terenie szczególne znaczenie. W </w:t>
      </w:r>
      <w:r w:rsidRPr="00717BC7">
        <w:rPr>
          <w:rFonts w:ascii="Times New Roman" w:hAnsi="Times New Roman" w:cs="Times New Roman"/>
          <w:bCs/>
          <w:color w:val="auto"/>
        </w:rPr>
        <w:t>roku 2020 n</w:t>
      </w:r>
      <w:r w:rsidRPr="00717BC7">
        <w:rPr>
          <w:rFonts w:ascii="Times New Roman" w:hAnsi="Times New Roman" w:cs="Times New Roman"/>
          <w:color w:val="auto"/>
        </w:rPr>
        <w:t>a terenie gminy Góra Kalwaria obowiązywały 162 miejscowe plany zagospodarowania przestrzennego, pokrywające łącznie obszar 3882,50 ha, co stanowi 27% powierzchni całkowitej gminy;</w:t>
      </w:r>
    </w:p>
    <w:p w14:paraId="68E93A99" w14:textId="77777777" w:rsidR="005761B6" w:rsidRPr="00717BC7" w:rsidRDefault="005761B6">
      <w:pPr>
        <w:pStyle w:val="Default"/>
        <w:numPr>
          <w:ilvl w:val="0"/>
          <w:numId w:val="35"/>
        </w:numPr>
        <w:spacing w:line="276" w:lineRule="auto"/>
        <w:ind w:left="426"/>
        <w:jc w:val="both"/>
        <w:rPr>
          <w:rFonts w:ascii="Times New Roman" w:hAnsi="Times New Roman" w:cs="Times New Roman"/>
          <w:color w:val="auto"/>
        </w:rPr>
      </w:pPr>
      <w:r w:rsidRPr="00717BC7">
        <w:rPr>
          <w:rFonts w:ascii="Times New Roman" w:hAnsi="Times New Roman" w:cs="Times New Roman"/>
          <w:color w:val="auto"/>
        </w:rPr>
        <w:t xml:space="preserve">W uchwalonym Studium Uwarunkowań i Kierunków Zagospodarowania Przestrzennego Miasta i Gminy Góra Kalwaria określono, iż tereny wyłączone spod zabudowy lub o ograniczonych możliwościach zabudowy i zagospodarowania (lasy, tereny do zalesień, parki, ogrody, tereny rolne, wody) stanowią 64% powierzchni gminy, tereny przewidziane pod zainwestowanie (w tym zabudowa mieszkalna, usługi, produkcja, usługi sportu) – 358% powierzchni gminy, inne (tereny wysypiska, tereny oczyszczalni ścieków) – 0,8% powierzchni gminy. Planami nie pokryte jest jedynie 8,48% z 35,48% terenów przewidzianych do zainwestowania (zabudowa mieszkalna, usługi, produkcja, usługi sportu). W ramach ww. 8,48% jest wiele obszarów objętych decyzjami o warunkach </w:t>
      </w:r>
      <w:r w:rsidRPr="00717BC7">
        <w:rPr>
          <w:rFonts w:ascii="Times New Roman" w:hAnsi="Times New Roman" w:cs="Times New Roman"/>
          <w:color w:val="auto"/>
        </w:rPr>
        <w:lastRenderedPageBreak/>
        <w:t>zabudowy i zagospodarowania terenu, ponadto część obszarów również objęta jest decyzjami o warunkach zabudowy siedliskowej</w:t>
      </w:r>
    </w:p>
    <w:p w14:paraId="5679DF31" w14:textId="77777777" w:rsidR="005761B6" w:rsidRPr="00717BC7" w:rsidRDefault="005761B6" w:rsidP="005761B6">
      <w:pPr>
        <w:autoSpaceDE w:val="0"/>
        <w:autoSpaceDN w:val="0"/>
        <w:adjustRightInd w:val="0"/>
        <w:spacing w:after="0"/>
        <w:ind w:firstLine="360"/>
        <w:jc w:val="both"/>
        <w:rPr>
          <w:rFonts w:ascii="Times New Roman" w:hAnsi="Times New Roman" w:cs="Times New Roman"/>
          <w:i/>
          <w:sz w:val="24"/>
          <w:szCs w:val="24"/>
        </w:rPr>
      </w:pPr>
    </w:p>
    <w:p w14:paraId="1C742BF3"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Struktura osadnicza;</w:t>
      </w:r>
    </w:p>
    <w:p w14:paraId="2FC6D841" w14:textId="77777777" w:rsidR="005761B6" w:rsidRPr="00717BC7" w:rsidRDefault="005761B6">
      <w:pPr>
        <w:pStyle w:val="Akapitzlist"/>
        <w:numPr>
          <w:ilvl w:val="0"/>
          <w:numId w:val="35"/>
        </w:numPr>
        <w:autoSpaceDE w:val="0"/>
        <w:autoSpaceDN w:val="0"/>
        <w:adjustRightInd w:val="0"/>
        <w:spacing w:after="0" w:line="276" w:lineRule="auto"/>
        <w:ind w:left="426"/>
        <w:jc w:val="both"/>
        <w:rPr>
          <w:rFonts w:ascii="Times New Roman" w:eastAsia="ArialMT" w:hAnsi="Times New Roman" w:cs="Times New Roman"/>
          <w:sz w:val="24"/>
          <w:szCs w:val="24"/>
        </w:rPr>
      </w:pPr>
      <w:r w:rsidRPr="00717BC7">
        <w:rPr>
          <w:rFonts w:ascii="Times New Roman" w:eastAsia="ArialMT" w:hAnsi="Times New Roman" w:cs="Times New Roman"/>
          <w:sz w:val="24"/>
          <w:szCs w:val="24"/>
        </w:rPr>
        <w:t>W skład gminy Góra Kalwaria wchodzi 37 sołectw. Największą powierzchnię Gminy Góra Kalwaria stanowią użytki rolne (60%). Wśród nich przeważają grunty orne – 48% i sady 29%. Drugie miejsce pod względem powierzchni stanowią lasy oraz grunty leśne, które zajmowały 25% podczas gdy grunty zabudowane i zurbanizowane to  8,59% ogólnej powierzchni gminy.</w:t>
      </w:r>
    </w:p>
    <w:p w14:paraId="7A62FA52" w14:textId="77777777" w:rsidR="005761B6" w:rsidRPr="00717BC7" w:rsidRDefault="005761B6" w:rsidP="005761B6">
      <w:pPr>
        <w:autoSpaceDE w:val="0"/>
        <w:autoSpaceDN w:val="0"/>
        <w:adjustRightInd w:val="0"/>
        <w:spacing w:after="0"/>
        <w:jc w:val="both"/>
        <w:rPr>
          <w:rFonts w:ascii="Times New Roman" w:eastAsia="ArialMT" w:hAnsi="Times New Roman" w:cs="Times New Roman"/>
          <w:sz w:val="24"/>
          <w:szCs w:val="24"/>
        </w:rPr>
      </w:pPr>
    </w:p>
    <w:p w14:paraId="422A0B48" w14:textId="77777777" w:rsidR="005761B6" w:rsidRPr="00717BC7" w:rsidRDefault="005761B6" w:rsidP="005761B6">
      <w:pPr>
        <w:jc w:val="both"/>
        <w:rPr>
          <w:rFonts w:ascii="Times New Roman" w:hAnsi="Times New Roman" w:cs="Times New Roman"/>
          <w:b/>
          <w:sz w:val="24"/>
          <w:szCs w:val="24"/>
          <w:u w:val="single"/>
        </w:rPr>
      </w:pPr>
      <w:r w:rsidRPr="00717BC7">
        <w:rPr>
          <w:rFonts w:ascii="Times New Roman" w:hAnsi="Times New Roman" w:cs="Times New Roman"/>
          <w:sz w:val="24"/>
          <w:szCs w:val="24"/>
          <w:u w:val="single"/>
        </w:rPr>
        <w:t>Rewitalizacja (obszar zdegradowany, obszar rewitalizacji, założenia i przedsięwzięcia rewitalizacyjne);</w:t>
      </w:r>
    </w:p>
    <w:p w14:paraId="61FFADC8" w14:textId="77777777" w:rsidR="005761B6" w:rsidRPr="00717BC7" w:rsidRDefault="005761B6">
      <w:pPr>
        <w:pStyle w:val="Akapitzlist"/>
        <w:numPr>
          <w:ilvl w:val="0"/>
          <w:numId w:val="35"/>
        </w:numPr>
        <w:autoSpaceDE w:val="0"/>
        <w:autoSpaceDN w:val="0"/>
        <w:adjustRightInd w:val="0"/>
        <w:spacing w:after="0" w:line="276" w:lineRule="auto"/>
        <w:ind w:left="426"/>
        <w:jc w:val="both"/>
        <w:rPr>
          <w:rFonts w:ascii="Times New Roman" w:hAnsi="Times New Roman" w:cs="Times New Roman"/>
          <w:bCs/>
          <w:sz w:val="24"/>
          <w:szCs w:val="24"/>
        </w:rPr>
      </w:pPr>
      <w:r w:rsidRPr="00717BC7">
        <w:rPr>
          <w:rFonts w:ascii="Times New Roman" w:hAnsi="Times New Roman" w:cs="Times New Roman"/>
          <w:sz w:val="24"/>
          <w:szCs w:val="24"/>
        </w:rPr>
        <w:t xml:space="preserve">W „Lokalnym Programie Rewitalizacji gminy Góra Kalwaria” z 2016 r. wyznaczono obszar zdegradowany, obszar rewitalizacji oraz założenia i przedsięwzięcia rewitalizacyjne. </w:t>
      </w:r>
      <w:r w:rsidRPr="00717BC7">
        <w:rPr>
          <w:rFonts w:ascii="Times New Roman" w:hAnsi="Times New Roman" w:cs="Times New Roman"/>
          <w:bCs/>
          <w:sz w:val="24"/>
          <w:szCs w:val="24"/>
        </w:rPr>
        <w:t xml:space="preserve">Całość obszaru zdegradowanego obejmuje powierzchnię: 507 ha. </w:t>
      </w:r>
      <w:r w:rsidRPr="00717BC7">
        <w:rPr>
          <w:rFonts w:ascii="Times New Roman" w:hAnsi="Times New Roman" w:cs="Times New Roman"/>
          <w:sz w:val="24"/>
          <w:szCs w:val="24"/>
        </w:rPr>
        <w:t xml:space="preserve">W części obszaru zdegradowanego </w:t>
      </w:r>
      <w:r w:rsidRPr="00717BC7">
        <w:rPr>
          <w:rFonts w:ascii="Times New Roman" w:hAnsi="Times New Roman" w:cs="Times New Roman"/>
          <w:bCs/>
          <w:sz w:val="24"/>
          <w:szCs w:val="24"/>
        </w:rPr>
        <w:t>wyznacza się obszar rewitalizacji, którego całkowita powierzchnia wynosi: 80 ha.</w:t>
      </w:r>
    </w:p>
    <w:p w14:paraId="28BACFB0" w14:textId="77777777" w:rsidR="005761B6" w:rsidRPr="00717BC7" w:rsidRDefault="005761B6" w:rsidP="005761B6">
      <w:pPr>
        <w:autoSpaceDE w:val="0"/>
        <w:autoSpaceDN w:val="0"/>
        <w:adjustRightInd w:val="0"/>
        <w:spacing w:after="0"/>
        <w:jc w:val="both"/>
        <w:rPr>
          <w:rFonts w:ascii="Times New Roman" w:hAnsi="Times New Roman" w:cs="Times New Roman"/>
          <w:i/>
          <w:sz w:val="24"/>
          <w:szCs w:val="24"/>
        </w:rPr>
      </w:pPr>
    </w:p>
    <w:p w14:paraId="21BE5A59"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Obszary zintegrowanego inwestowania i wykluczenia z inwestowania, obszary rozmieszczenia inwestycji celu publicznego;</w:t>
      </w:r>
    </w:p>
    <w:p w14:paraId="1E9CBFC8" w14:textId="77777777" w:rsidR="005761B6" w:rsidRPr="00717BC7" w:rsidRDefault="005761B6">
      <w:pPr>
        <w:pStyle w:val="Akapitzlist"/>
        <w:numPr>
          <w:ilvl w:val="0"/>
          <w:numId w:val="35"/>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w:t>
      </w:r>
      <w:r w:rsidRPr="00717BC7">
        <w:rPr>
          <w:rFonts w:ascii="Times New Roman" w:hAnsi="Times New Roman" w:cs="Times New Roman"/>
          <w:bCs/>
          <w:sz w:val="24"/>
          <w:szCs w:val="24"/>
        </w:rPr>
        <w:t>Studium Uwarunkowań i Kierunków Zagospodarowania Przestrzennego Miasta i Gminy Góra Kalwaria” określono</w:t>
      </w:r>
      <w:r w:rsidRPr="00717BC7">
        <w:rPr>
          <w:rFonts w:ascii="Times New Roman" w:hAnsi="Times New Roman" w:cs="Times New Roman"/>
          <w:sz w:val="24"/>
          <w:szCs w:val="24"/>
        </w:rPr>
        <w:t xml:space="preserve"> przeznaczenie i warunki użytkowania obszarów. Razem tereny zabudowane i zainwestowane oraz przewidziane do zabudowy i zagospodarowania obejmują 5266 ha gminy i stanowią 36% jej ogólnej powierzchni. Tereny te są „terenami inwestycyjnymi” jako, że „Studium … dopuszcza na ich obszarze nowe inwestycje jak również inwestycje modernizacji i wymiany istniejących form zagospodarowania – por. powyższe zestawienie.</w:t>
      </w:r>
    </w:p>
    <w:p w14:paraId="7E761F03"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1490C19C" w14:textId="77777777" w:rsidR="005761B6" w:rsidRPr="00717BC7" w:rsidRDefault="005761B6" w:rsidP="005761B6">
      <w:pPr>
        <w:rPr>
          <w:rFonts w:ascii="Times New Roman" w:hAnsi="Times New Roman" w:cs="Times New Roman"/>
          <w:sz w:val="24"/>
          <w:szCs w:val="24"/>
        </w:rPr>
      </w:pPr>
      <w:r w:rsidRPr="00717BC7">
        <w:rPr>
          <w:rFonts w:ascii="Times New Roman" w:hAnsi="Times New Roman" w:cs="Times New Roman"/>
          <w:sz w:val="24"/>
          <w:szCs w:val="24"/>
          <w:u w:val="single"/>
        </w:rPr>
        <w:t>Obszary o szczególnych problemach lub barierach rozwojowych i obszary o wyjątkowym potencjale rozwojowym</w:t>
      </w:r>
      <w:r w:rsidRPr="00717BC7">
        <w:rPr>
          <w:rFonts w:ascii="Times New Roman" w:hAnsi="Times New Roman" w:cs="Times New Roman"/>
          <w:bCs/>
          <w:sz w:val="24"/>
          <w:szCs w:val="24"/>
          <w:u w:val="single"/>
        </w:rPr>
        <w:t>;</w:t>
      </w:r>
      <w:r w:rsidRPr="00717BC7">
        <w:rPr>
          <w:rFonts w:ascii="Times New Roman" w:hAnsi="Times New Roman" w:cs="Times New Roman"/>
          <w:b/>
          <w:sz w:val="24"/>
          <w:szCs w:val="24"/>
          <w:u w:val="single"/>
        </w:rPr>
        <w:t xml:space="preserve"> </w:t>
      </w:r>
    </w:p>
    <w:p w14:paraId="1060398B" w14:textId="77777777" w:rsidR="005761B6" w:rsidRPr="00717BC7" w:rsidRDefault="005761B6">
      <w:pPr>
        <w:pStyle w:val="Akapitzlist"/>
        <w:numPr>
          <w:ilvl w:val="0"/>
          <w:numId w:val="7"/>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w:t>
      </w:r>
      <w:r w:rsidRPr="00717BC7">
        <w:rPr>
          <w:rFonts w:ascii="Times New Roman" w:hAnsi="Times New Roman" w:cs="Times New Roman"/>
          <w:bCs/>
          <w:sz w:val="24"/>
          <w:szCs w:val="24"/>
        </w:rPr>
        <w:t>Studium Uwarunkowań i Kierunków Zagospodarowania Przestrzennego Miasta i Gminy Góra Kalwaria” stwierdza się największe zagrożenia występują na terenach narażonych na niebezpieczeństwo powodzi i osuwania się mas ziemnych. N</w:t>
      </w:r>
      <w:r w:rsidRPr="00717BC7">
        <w:rPr>
          <w:rFonts w:ascii="Times New Roman" w:hAnsi="Times New Roman" w:cs="Times New Roman"/>
          <w:sz w:val="24"/>
          <w:szCs w:val="24"/>
        </w:rPr>
        <w:t>a znacznych odcinkach skarpy wprowadzono zakaz zabudowy. Na terenie Gminy Góra Kalwaria występuje również strefa bezpośredniego i potencjalnego zagrożenia powodziowego. Wzdłuż Wisły zbudowano wały przeciwpowodziowe, które jednak chronią tylko przed wezbraniami rzeki oraz przed mniejszymi zalewami.</w:t>
      </w:r>
    </w:p>
    <w:p w14:paraId="568C41FE" w14:textId="77777777" w:rsidR="005761B6" w:rsidRPr="00717BC7" w:rsidRDefault="005761B6" w:rsidP="005761B6">
      <w:pPr>
        <w:autoSpaceDE w:val="0"/>
        <w:autoSpaceDN w:val="0"/>
        <w:adjustRightInd w:val="0"/>
        <w:spacing w:after="0"/>
        <w:ind w:left="66"/>
        <w:jc w:val="both"/>
        <w:rPr>
          <w:rFonts w:ascii="Times New Roman" w:hAnsi="Times New Roman" w:cs="Times New Roman"/>
          <w:i/>
          <w:sz w:val="24"/>
          <w:szCs w:val="24"/>
        </w:rPr>
      </w:pPr>
    </w:p>
    <w:p w14:paraId="5DCC8576" w14:textId="12EABE13"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1" w:name="_Toc109901019"/>
      <w:r w:rsidRPr="00717BC7">
        <w:rPr>
          <w:rFonts w:ascii="Times New Roman" w:hAnsi="Times New Roman" w:cs="Times New Roman"/>
          <w:b/>
          <w:bCs/>
          <w:color w:val="auto"/>
          <w:sz w:val="24"/>
          <w:szCs w:val="24"/>
          <w:u w:val="single"/>
        </w:rPr>
        <w:t>Bezpieczeństwo publiczne</w:t>
      </w:r>
      <w:bookmarkEnd w:id="11"/>
    </w:p>
    <w:p w14:paraId="0A28F80E" w14:textId="77777777" w:rsidR="005761B6" w:rsidRPr="00717BC7" w:rsidRDefault="005761B6" w:rsidP="005761B6">
      <w:pPr>
        <w:pStyle w:val="Nagwek2"/>
        <w:spacing w:before="0"/>
        <w:rPr>
          <w:rFonts w:ascii="Times New Roman" w:hAnsi="Times New Roman" w:cs="Times New Roman"/>
          <w:b/>
          <w:color w:val="auto"/>
          <w:sz w:val="24"/>
          <w:szCs w:val="24"/>
        </w:rPr>
      </w:pPr>
    </w:p>
    <w:p w14:paraId="60C0F20C"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Podmioty i instytucje realizujące zadania z zakresu bezpieczeństwa; Przestępczość;  Bezpieczeństwo w ruchu drogowym</w:t>
      </w:r>
      <w:r w:rsidRPr="00717BC7">
        <w:rPr>
          <w:rFonts w:ascii="Times New Roman" w:hAnsi="Times New Roman" w:cs="Times New Roman"/>
          <w:b/>
          <w:bCs/>
          <w:sz w:val="24"/>
          <w:szCs w:val="24"/>
          <w:u w:val="single"/>
        </w:rPr>
        <w:t xml:space="preserve">; </w:t>
      </w:r>
    </w:p>
    <w:p w14:paraId="6512A2B4" w14:textId="77777777" w:rsidR="005761B6" w:rsidRPr="00717BC7" w:rsidRDefault="005761B6">
      <w:pPr>
        <w:pStyle w:val="Akapitzlist"/>
        <w:numPr>
          <w:ilvl w:val="0"/>
          <w:numId w:val="7"/>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lastRenderedPageBreak/>
        <w:t>Gmina ze względu na położenie w obszarze metropolitalnym Warszawy narażona jest na występowanie licznych zagrożeń bezpieczeństwa publicznego, w szczególności wynikające występowania bardzo rozbudowanego układu drogowych połączeń komunikacyjnych o zasięgu międzynarodowym, krajowym i wojewódzkim. Zgodnie z informacją Komendanta Policji w ostatnich latach zmniejszyła się liczba postępowań przygotowawczych kryminalnych. Przestępczość na terenie gminy dotyczyła przede wszystkim kradzieży i uszkodzenia rzeczy, kradzieży z włamaniem, a w mniejszym stopniu uszczerbku na zdrowiu i kradzieży samochodów. W analizowanym okresie nastąpił wzrost skuteczności ścigania o 20 punktów procentowych (do 69%). Dotyczyło to przede wszystkim przestępstw związanych z bójkami, pobiciem, uszczerbkiem na zdrowiu i kradzieżami samochodów. Problemem są pozostałe rodzaje kradzieży;</w:t>
      </w:r>
    </w:p>
    <w:p w14:paraId="16F8C642" w14:textId="77777777" w:rsidR="005761B6" w:rsidRPr="00717BC7" w:rsidRDefault="005761B6">
      <w:pPr>
        <w:pStyle w:val="Akapitzlist"/>
        <w:numPr>
          <w:ilvl w:val="0"/>
          <w:numId w:val="7"/>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Partnerem policji w zapewnianiu ładu i porządku publicznego na terenie miasta i gminy Góra Kalwaria jest Straż Miejska. W ramach bieżącej pracy strażnicy miejscy podejmowali interwencje w zakresie: zakłócenia porządku publicznego, zagrożeń w ruchu drogowym, ochrony środowiska i gospodarki odpadami, zagrożeń życia i zdrowia, zagrożeń pożarowych, awarii technicznych, zwierząt zagubionych, niewłaściwie trzymanych, potrzebujących pomocy, martwych oraz innych zgłoszeń. Od 2017 roku funkcjonuje w gminie Góra Kalwaria System Ostrzegania i Alarmowania Ludności o Zagrożeniach.</w:t>
      </w:r>
    </w:p>
    <w:p w14:paraId="60DA96E9" w14:textId="77777777" w:rsidR="005761B6" w:rsidRPr="00717BC7" w:rsidRDefault="005761B6" w:rsidP="005761B6">
      <w:pPr>
        <w:autoSpaceDE w:val="0"/>
        <w:autoSpaceDN w:val="0"/>
        <w:adjustRightInd w:val="0"/>
        <w:spacing w:after="0"/>
        <w:ind w:left="360"/>
        <w:jc w:val="both"/>
        <w:rPr>
          <w:rFonts w:ascii="Times New Roman" w:hAnsi="Times New Roman" w:cs="Times New Roman"/>
          <w:i/>
          <w:sz w:val="24"/>
          <w:szCs w:val="24"/>
        </w:rPr>
      </w:pPr>
    </w:p>
    <w:p w14:paraId="3CDC46AE" w14:textId="77777777" w:rsidR="005761B6" w:rsidRPr="00717BC7" w:rsidRDefault="005761B6" w:rsidP="005761B6">
      <w:pPr>
        <w:jc w:val="both"/>
        <w:rPr>
          <w:rFonts w:ascii="Times New Roman" w:hAnsi="Times New Roman" w:cs="Times New Roman"/>
          <w:sz w:val="24"/>
          <w:szCs w:val="24"/>
          <w:u w:val="single"/>
        </w:rPr>
      </w:pPr>
      <w:r w:rsidRPr="00717BC7">
        <w:rPr>
          <w:rFonts w:ascii="Times New Roman" w:hAnsi="Times New Roman" w:cs="Times New Roman"/>
          <w:sz w:val="24"/>
          <w:szCs w:val="24"/>
          <w:u w:val="single"/>
        </w:rPr>
        <w:t>Uwarunkowania wynikające z położenia, w tym zagrożenia naturalne (powodziowe, osuwiskowe);</w:t>
      </w:r>
    </w:p>
    <w:p w14:paraId="69905979" w14:textId="77777777" w:rsidR="005761B6" w:rsidRPr="00717BC7" w:rsidRDefault="005761B6">
      <w:pPr>
        <w:pStyle w:val="Akapitzlist"/>
        <w:numPr>
          <w:ilvl w:val="0"/>
          <w:numId w:val="4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t>Głównym zagrożeniem związanym ze skarpą doliny Wisły jest problem stateczności zboczy. Ruchy masowe na skarpie najczęściej są bardzo powolne – spełzywanie. Jednak procesy zboczowe mogą mieć także przebieg gwałtowny (spływy lub osuwiska). W zależności od wpływu wyżej wymienionych czynników skarpa doliny Wisły może być narażona z różnym prawdopodobieństwem na występowanie zjawisk geodynamicznych takich jak osuwiska i zsuwy. Dlatego na znacznych odcinkach skarpy wprowadzono zakaz zabudowy i dokonano podziału strefy ochronnej skarpy na odcinki ustalając dla nich określone zalecenia;</w:t>
      </w:r>
    </w:p>
    <w:p w14:paraId="61C5761C" w14:textId="77777777" w:rsidR="005761B6" w:rsidRPr="00717BC7" w:rsidRDefault="005761B6">
      <w:pPr>
        <w:pStyle w:val="Akapitzlist"/>
        <w:numPr>
          <w:ilvl w:val="0"/>
          <w:numId w:val="4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t xml:space="preserve">Zagrożeniem powierzchni ziemi jest dzielenie i niekontrolowane zasypywanie zagłębień bezodpływowych i wyeksploatowanych glinianek. Te ostanie maja obecnie miejsce w rejonie Baniochy. W tym rejonie wskazuje się tereny przeznaczone do rekultywacji. Sa nimi także wszelkie prace budowlane związane z wykonywaniem wykopów. Należy zaznaczyć, że w większości wypadków zagrożenie to jest krótkotrwałe i dotyczy małego obszaru. </w:t>
      </w:r>
    </w:p>
    <w:p w14:paraId="6F50F360" w14:textId="77777777" w:rsidR="005761B6" w:rsidRPr="00717BC7" w:rsidRDefault="005761B6">
      <w:pPr>
        <w:pStyle w:val="Akapitzlist"/>
        <w:numPr>
          <w:ilvl w:val="0"/>
          <w:numId w:val="42"/>
        </w:numPr>
        <w:autoSpaceDE w:val="0"/>
        <w:autoSpaceDN w:val="0"/>
        <w:adjustRightInd w:val="0"/>
        <w:spacing w:after="0" w:line="276" w:lineRule="auto"/>
        <w:ind w:left="426"/>
        <w:jc w:val="both"/>
        <w:rPr>
          <w:rFonts w:ascii="Times New Roman" w:hAnsi="Times New Roman" w:cs="Times New Roman"/>
          <w:iCs/>
          <w:sz w:val="24"/>
          <w:szCs w:val="24"/>
        </w:rPr>
      </w:pPr>
      <w:r w:rsidRPr="00717BC7">
        <w:rPr>
          <w:rFonts w:ascii="Times New Roman" w:hAnsi="Times New Roman" w:cs="Times New Roman"/>
          <w:iCs/>
          <w:sz w:val="24"/>
          <w:szCs w:val="24"/>
        </w:rPr>
        <w:t xml:space="preserve">Na terenie Gminy Góra Kalwaria występuje strefa bezpośredniego i potencjalnego zagrożenia powodziowego. Obszar międzywala stanowi strefę bezpośredniego zagrożenia powodziowego. Na terenie gminy Góra Kalwaria, wzdłuż Wisły zbudowano wały przeciwpowodziowe. Chronią one przez wezbraniami rzeki oraz przed mniejszymi zalewami. </w:t>
      </w:r>
    </w:p>
    <w:p w14:paraId="0F959699" w14:textId="77777777" w:rsidR="005761B6" w:rsidRPr="00717BC7" w:rsidRDefault="005761B6" w:rsidP="005761B6">
      <w:pPr>
        <w:autoSpaceDE w:val="0"/>
        <w:autoSpaceDN w:val="0"/>
        <w:adjustRightInd w:val="0"/>
        <w:spacing w:after="0"/>
        <w:jc w:val="both"/>
        <w:rPr>
          <w:rFonts w:ascii="Times New Roman" w:hAnsi="Times New Roman" w:cs="Times New Roman"/>
          <w:sz w:val="24"/>
          <w:szCs w:val="24"/>
        </w:rPr>
      </w:pPr>
    </w:p>
    <w:p w14:paraId="78BF34A2" w14:textId="3E5CAD3F" w:rsidR="005761B6" w:rsidRPr="00717BC7" w:rsidRDefault="005761B6" w:rsidP="005761B6">
      <w:pPr>
        <w:pStyle w:val="Nagwek1"/>
        <w:spacing w:before="0"/>
        <w:jc w:val="both"/>
        <w:rPr>
          <w:rFonts w:ascii="Times New Roman" w:hAnsi="Times New Roman" w:cs="Times New Roman"/>
          <w:b/>
          <w:bCs/>
          <w:color w:val="auto"/>
          <w:sz w:val="24"/>
          <w:szCs w:val="24"/>
          <w:u w:val="single"/>
        </w:rPr>
      </w:pPr>
      <w:bookmarkStart w:id="12" w:name="_Toc109901020"/>
      <w:r w:rsidRPr="00717BC7">
        <w:rPr>
          <w:rFonts w:ascii="Times New Roman" w:hAnsi="Times New Roman" w:cs="Times New Roman"/>
          <w:b/>
          <w:bCs/>
          <w:color w:val="auto"/>
          <w:sz w:val="24"/>
          <w:szCs w:val="24"/>
          <w:u w:val="single"/>
        </w:rPr>
        <w:lastRenderedPageBreak/>
        <w:t>Polityka społeczna</w:t>
      </w:r>
      <w:bookmarkEnd w:id="12"/>
    </w:p>
    <w:p w14:paraId="5A532EE0" w14:textId="77777777" w:rsidR="005761B6" w:rsidRPr="00717BC7" w:rsidRDefault="005761B6" w:rsidP="005761B6">
      <w:pPr>
        <w:pStyle w:val="Nagwek2"/>
        <w:spacing w:before="0"/>
        <w:jc w:val="both"/>
        <w:rPr>
          <w:rFonts w:ascii="Times New Roman" w:hAnsi="Times New Roman" w:cs="Times New Roman"/>
          <w:b/>
          <w:color w:val="auto"/>
          <w:sz w:val="24"/>
          <w:szCs w:val="24"/>
        </w:rPr>
      </w:pPr>
    </w:p>
    <w:p w14:paraId="443A2350"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Pomoc społeczna – liczba i odsetek osób objętych pomocą społeczną, struktura powodów udzielania pomocy, beneficjenci pomocy, w tym osoby długotrwale korzystające ze wsparcia;</w:t>
      </w:r>
    </w:p>
    <w:p w14:paraId="05698909" w14:textId="77777777" w:rsidR="005761B6" w:rsidRPr="00717BC7" w:rsidRDefault="005761B6">
      <w:pPr>
        <w:pStyle w:val="Akapitzlist"/>
        <w:numPr>
          <w:ilvl w:val="0"/>
          <w:numId w:val="7"/>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latach 2015-2019 w gminie Góra Kalwaria znacznie wzrosła liczba rodzin otrzymujących zasiłki rodzinne (o 43%). Są to wartości znacznie wyższe od średnich dla województwa mazowieckiego(wzrost o 1,6 %) oraz w Polsce (spadek o -2,5%). W znacznym stopniu zwiększyła się także liczba dzieci na które rodzice otrzymują zasiłek rodzinny (o 35%);</w:t>
      </w:r>
    </w:p>
    <w:p w14:paraId="3CBAD0FF" w14:textId="77777777" w:rsidR="005761B6" w:rsidRPr="00717BC7" w:rsidRDefault="005761B6">
      <w:pPr>
        <w:pStyle w:val="Akapitzlist"/>
        <w:numPr>
          <w:ilvl w:val="0"/>
          <w:numId w:val="7"/>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gminie Góra Kalwaria, we wszystkich latach okresu 2015-2019, notowano niższy poziom wskaźnika liczby beneficjentów pomocy społecznej w przeliczeniu na 10 tys. ludności niż średnio w Polsce ogółem i ogółem w województwie mazowieckim.</w:t>
      </w:r>
    </w:p>
    <w:p w14:paraId="65F09F5A" w14:textId="77777777" w:rsidR="005761B6" w:rsidRPr="00717BC7" w:rsidRDefault="005761B6" w:rsidP="005761B6">
      <w:pPr>
        <w:autoSpaceDE w:val="0"/>
        <w:autoSpaceDN w:val="0"/>
        <w:adjustRightInd w:val="0"/>
        <w:spacing w:after="0"/>
        <w:jc w:val="both"/>
        <w:rPr>
          <w:rFonts w:ascii="Times New Roman" w:hAnsi="Times New Roman" w:cs="Times New Roman"/>
          <w:sz w:val="24"/>
          <w:szCs w:val="24"/>
        </w:rPr>
      </w:pPr>
    </w:p>
    <w:p w14:paraId="5B1E1BEE"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Ochrona zdrowia – placówki, oferta, dostępność, liczba udzielanych porad, lokalizacja i czas dojazdu zespołów ratownictwa medycznego;</w:t>
      </w:r>
    </w:p>
    <w:p w14:paraId="2D226A4E" w14:textId="77777777" w:rsidR="005761B6" w:rsidRPr="00717BC7" w:rsidRDefault="005761B6" w:rsidP="005761B6">
      <w:pPr>
        <w:pStyle w:val="Akapitzlist"/>
        <w:autoSpaceDE w:val="0"/>
        <w:autoSpaceDN w:val="0"/>
        <w:adjustRightInd w:val="0"/>
        <w:spacing w:after="0"/>
        <w:ind w:left="426"/>
        <w:jc w:val="both"/>
        <w:rPr>
          <w:rFonts w:ascii="Times New Roman" w:hAnsi="Times New Roman" w:cs="Times New Roman"/>
          <w:sz w:val="24"/>
          <w:szCs w:val="24"/>
        </w:rPr>
      </w:pPr>
      <w:r w:rsidRPr="00717BC7">
        <w:rPr>
          <w:rFonts w:ascii="Times New Roman" w:hAnsi="Times New Roman" w:cs="Times New Roman"/>
          <w:sz w:val="24"/>
          <w:szCs w:val="24"/>
          <w:lang w:eastAsia="pl-PL"/>
        </w:rPr>
        <w:t xml:space="preserve">W 2020 r. świadczenia zdrowotne Samodzielnego Publicznego Zakładu Opieki Zdrowotnej oferowane były mieszkańcom w placówkach zlokalizowanych w mieście Góra Kalwaria z filiami w Baniosze i Sobikowie. </w:t>
      </w:r>
      <w:r w:rsidRPr="00717BC7">
        <w:rPr>
          <w:rFonts w:ascii="Times New Roman" w:hAnsi="Times New Roman" w:cs="Times New Roman"/>
          <w:sz w:val="24"/>
          <w:szCs w:val="24"/>
        </w:rPr>
        <w:t xml:space="preserve">Doraźnej pomocy lekarskiej, której udziela punkt DPL znajdujący się w Domu Pomocy Społecznej. </w:t>
      </w:r>
      <w:r w:rsidRPr="00717BC7">
        <w:rPr>
          <w:rFonts w:ascii="Times New Roman" w:hAnsi="Times New Roman" w:cs="Times New Roman"/>
          <w:sz w:val="24"/>
          <w:szCs w:val="24"/>
          <w:lang w:eastAsia="pl-PL"/>
        </w:rPr>
        <w:t>Poziom wskaźnika liczby przychodni w przeliczeniu na 10 tysięcy mieszkańców dla całej gminy Góra Kalwaria był nieco niższy od średniej krajowej i średniej dla województwa mazowieckiego. W gminie Góra Kalwaria w 2019 r. funkcjonowało 9 aptek, z których 7 zlokalizowanych było na terenie miasta. Wskaźnik liczby ludności na aptekę ogólnodostępną dla całej gminy Góra Kalwaria wynosił w 2019 r. był niższy od średniej krajowej i średniej dla województwa mazowieckiego.</w:t>
      </w:r>
    </w:p>
    <w:p w14:paraId="1C54FAF2" w14:textId="77777777" w:rsidR="005761B6" w:rsidRPr="00717BC7" w:rsidRDefault="005761B6" w:rsidP="005761B6">
      <w:pPr>
        <w:pStyle w:val="Akapitzlist"/>
        <w:autoSpaceDE w:val="0"/>
        <w:autoSpaceDN w:val="0"/>
        <w:adjustRightInd w:val="0"/>
        <w:spacing w:after="0"/>
        <w:ind w:left="426"/>
        <w:jc w:val="both"/>
        <w:rPr>
          <w:rFonts w:ascii="Times New Roman" w:hAnsi="Times New Roman" w:cs="Times New Roman"/>
          <w:sz w:val="24"/>
          <w:szCs w:val="24"/>
          <w:u w:val="single"/>
        </w:rPr>
      </w:pPr>
    </w:p>
    <w:p w14:paraId="032BC9C5" w14:textId="77777777" w:rsidR="005761B6" w:rsidRPr="00717BC7" w:rsidRDefault="005761B6" w:rsidP="005761B6">
      <w:pPr>
        <w:jc w:val="both"/>
        <w:rPr>
          <w:rFonts w:ascii="Times New Roman" w:hAnsi="Times New Roman" w:cs="Times New Roman"/>
          <w:b/>
          <w:sz w:val="24"/>
          <w:szCs w:val="24"/>
          <w:u w:val="single"/>
        </w:rPr>
      </w:pPr>
      <w:r w:rsidRPr="00717BC7">
        <w:rPr>
          <w:rFonts w:ascii="Times New Roman" w:hAnsi="Times New Roman" w:cs="Times New Roman"/>
          <w:sz w:val="24"/>
          <w:szCs w:val="24"/>
          <w:u w:val="single"/>
        </w:rPr>
        <w:t>Gospodarka mieszkaniowa – opisu stanu zasobów mieszkaniowych, w tym technicznych, energetycznych i dostępności</w:t>
      </w:r>
      <w:r w:rsidRPr="00717BC7">
        <w:rPr>
          <w:rFonts w:ascii="Times New Roman" w:hAnsi="Times New Roman" w:cs="Times New Roman"/>
          <w:bCs/>
          <w:sz w:val="24"/>
          <w:szCs w:val="24"/>
          <w:u w:val="single"/>
        </w:rPr>
        <w:t>;</w:t>
      </w:r>
      <w:r w:rsidRPr="00717BC7">
        <w:rPr>
          <w:rFonts w:ascii="Times New Roman" w:hAnsi="Times New Roman" w:cs="Times New Roman"/>
          <w:b/>
          <w:sz w:val="24"/>
          <w:szCs w:val="24"/>
          <w:u w:val="single"/>
        </w:rPr>
        <w:t xml:space="preserve"> </w:t>
      </w:r>
    </w:p>
    <w:p w14:paraId="41E8325B" w14:textId="77777777" w:rsidR="005761B6" w:rsidRPr="00717BC7" w:rsidRDefault="005761B6">
      <w:pPr>
        <w:pStyle w:val="Akapitzlist"/>
        <w:numPr>
          <w:ilvl w:val="0"/>
          <w:numId w:val="8"/>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świetle większości spośród wybranych wskaźników sytuacji mieszkaniowej w gminie Góra Kalwaria występował lepszy stan zasobów i warunków mieszkaniowych niż przeciętnie w kraju i województwie mazowieckim. Szczególnie wyraziście korzystniejsza sytuacja mieszkaniowa występuje na obszarach wiejskich gminy Góra Kalwaria i dotyczy to zarówno stanu zasobów mieszkaniowych (wyposażenie i wielkość mieszkań), jak i warunków mieszkaniowych (zaludnienie mieszkań). Miasto Góra Kalwaria w większości analizowanych mierników wykazuje poziom nieco gorszy niż średnio miasta w Polsce i województwie mazowieckim, ale różnice w tym zakresie nie są zbyt duże i po części są niwelowane elementami pełniejszego wyposażenia i wielkości mieszkań;</w:t>
      </w:r>
    </w:p>
    <w:p w14:paraId="03E091D9" w14:textId="77777777" w:rsidR="005761B6" w:rsidRPr="00717BC7" w:rsidRDefault="005761B6">
      <w:pPr>
        <w:pStyle w:val="Akapitzlist"/>
        <w:numPr>
          <w:ilvl w:val="0"/>
          <w:numId w:val="8"/>
        </w:numPr>
        <w:autoSpaceDE w:val="0"/>
        <w:autoSpaceDN w:val="0"/>
        <w:adjustRightInd w:val="0"/>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 xml:space="preserve">W skład mieszkaniowego zasobu gminy wchodzi 51 komunalnych budynków. Liczba lokali komunalnych to 395, w tym 68 lokali socjalnych. 33 lokale komunalne są wolne. Obecnie w gminie Góra Kalwaria oczekuje na mieszkania komunalne około 40 rodzin. </w:t>
      </w:r>
    </w:p>
    <w:p w14:paraId="5947F292" w14:textId="77777777" w:rsidR="005761B6" w:rsidRPr="00717BC7" w:rsidRDefault="005761B6" w:rsidP="005761B6">
      <w:pPr>
        <w:autoSpaceDE w:val="0"/>
        <w:autoSpaceDN w:val="0"/>
        <w:adjustRightInd w:val="0"/>
        <w:spacing w:after="0"/>
        <w:rPr>
          <w:rFonts w:ascii="Times New Roman" w:hAnsi="Times New Roman" w:cs="Times New Roman"/>
          <w:b/>
          <w:bCs/>
          <w:sz w:val="24"/>
          <w:szCs w:val="24"/>
        </w:rPr>
      </w:pPr>
    </w:p>
    <w:p w14:paraId="3831A27B" w14:textId="656395D1"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3" w:name="_Toc109901021"/>
      <w:r w:rsidRPr="00717BC7">
        <w:rPr>
          <w:rFonts w:ascii="Times New Roman" w:hAnsi="Times New Roman" w:cs="Times New Roman"/>
          <w:b/>
          <w:bCs/>
          <w:color w:val="auto"/>
          <w:sz w:val="24"/>
          <w:szCs w:val="24"/>
          <w:u w:val="single"/>
        </w:rPr>
        <w:lastRenderedPageBreak/>
        <w:t>Edukacja i wychowanie</w:t>
      </w:r>
      <w:bookmarkEnd w:id="13"/>
    </w:p>
    <w:p w14:paraId="6333218C" w14:textId="77777777" w:rsidR="005761B6" w:rsidRPr="00717BC7" w:rsidRDefault="005761B6" w:rsidP="005761B6">
      <w:pPr>
        <w:pStyle w:val="Nagwek2"/>
        <w:spacing w:before="0"/>
        <w:rPr>
          <w:rFonts w:ascii="Times New Roman" w:hAnsi="Times New Roman" w:cs="Times New Roman"/>
          <w:b/>
          <w:color w:val="auto"/>
          <w:sz w:val="24"/>
          <w:szCs w:val="24"/>
        </w:rPr>
      </w:pPr>
    </w:p>
    <w:p w14:paraId="3B9AE209" w14:textId="77777777" w:rsidR="005761B6" w:rsidRPr="00717BC7" w:rsidRDefault="005761B6">
      <w:pPr>
        <w:pStyle w:val="Akapitzlist"/>
        <w:numPr>
          <w:ilvl w:val="0"/>
          <w:numId w:val="38"/>
        </w:numPr>
        <w:autoSpaceDE w:val="0"/>
        <w:autoSpaceDN w:val="0"/>
        <w:adjustRightInd w:val="0"/>
        <w:spacing w:after="0" w:line="276" w:lineRule="auto"/>
        <w:ind w:left="426"/>
        <w:jc w:val="both"/>
        <w:rPr>
          <w:rFonts w:ascii="Times New Roman" w:hAnsi="Times New Roman" w:cs="Times New Roman"/>
          <w:i/>
          <w:sz w:val="24"/>
          <w:szCs w:val="24"/>
        </w:rPr>
      </w:pPr>
      <w:r w:rsidRPr="00717BC7">
        <w:rPr>
          <w:rFonts w:ascii="Times New Roman" w:hAnsi="Times New Roman" w:cs="Times New Roman"/>
          <w:sz w:val="24"/>
          <w:szCs w:val="24"/>
        </w:rPr>
        <w:t>W 2020 r. w gminie Góra Kalwaria, w ramach placówek prowadzonych przez Gminę, funkcjonują trzy samodzielne przedszkola samorządowe, jeden zespół szkolno-przedszkolny, w skład którego wchodzą szkoła podstawowa i przedszkole, jeden zespół szkół ogólnokształcących, w skład którego wchodzą szkoła podstawowa i liceum ogólnokształcące, oraz dziewięć samodzielnych szkół podstawowych. W latach 2015-2020 miał miejsce wzrost zapotrzebowania na usługi oświatowe.</w:t>
      </w:r>
      <w:r w:rsidRPr="00717BC7">
        <w:rPr>
          <w:rFonts w:ascii="Times New Roman" w:hAnsi="Times New Roman" w:cs="Times New Roman"/>
          <w:sz w:val="24"/>
          <w:szCs w:val="24"/>
          <w:lang w:eastAsia="pl-PL"/>
        </w:rPr>
        <w:t xml:space="preserve"> Porównując wskaźniki dynamiki liczby szkół i liczby uczniów należy stwierdzić, że w skali kraju i województwa przyrost liczby szkół był wyższy niż liczby uczniów. W gminie Góra Kalwaria zanotowano odwrotną tendencję, co przede wszystkim wynikało z oddania do użytkowania nowej szkoły w mieście Góra Kalwaria. Podobna tendencja cechowała szkolnictwo ogólnokształcące – zwiększyła się liczba oddziałów (+58,3%) i uczniów (64,3%), przy tej samej liczbie funkcjonujących placówek. Na terenie gminy</w:t>
      </w:r>
      <w:r w:rsidRPr="00717BC7">
        <w:rPr>
          <w:rFonts w:ascii="Times New Roman" w:hAnsi="Times New Roman" w:cs="Times New Roman"/>
          <w:sz w:val="24"/>
          <w:szCs w:val="24"/>
        </w:rPr>
        <w:t xml:space="preserve"> funkcjonują także dwie placówki kształcenia zawodowego;</w:t>
      </w:r>
    </w:p>
    <w:p w14:paraId="3FDE3582" w14:textId="77777777" w:rsidR="005761B6" w:rsidRPr="00717BC7" w:rsidRDefault="005761B6">
      <w:pPr>
        <w:pStyle w:val="Akapitzlist"/>
        <w:numPr>
          <w:ilvl w:val="0"/>
          <w:numId w:val="29"/>
        </w:numPr>
        <w:autoSpaceDE w:val="0"/>
        <w:autoSpaceDN w:val="0"/>
        <w:adjustRightInd w:val="0"/>
        <w:spacing w:after="0" w:line="276" w:lineRule="auto"/>
        <w:jc w:val="both"/>
        <w:rPr>
          <w:rFonts w:ascii="Times New Roman" w:hAnsi="Times New Roman" w:cs="Times New Roman"/>
          <w:sz w:val="24"/>
          <w:szCs w:val="24"/>
          <w:lang w:eastAsia="pl-PL"/>
        </w:rPr>
      </w:pPr>
      <w:r w:rsidRPr="00717BC7">
        <w:rPr>
          <w:rFonts w:ascii="Times New Roman" w:hAnsi="Times New Roman" w:cs="Times New Roman"/>
          <w:sz w:val="24"/>
          <w:szCs w:val="24"/>
          <w:lang w:eastAsia="pl-PL"/>
        </w:rPr>
        <w:t xml:space="preserve">Na terenie gminy Góra Kalwaria potrzeby w zakresie wychowania przedszkolnego zaspokajało 14 przedszkoli (9 w mieście, a 5 na obszarze wiejskim), w tym cztery samorządowe. Systematycznie rosła liczba dzieci uczęszczających do przedszkoli -zwiększyła się o 13,9%. Odsetek dzieci objętych wychowaniem przedszkolnym w gminie Góra Kalwaria w 2019 r. wyniósł 93,6%, przy średniej krajowej 88,5% i wojewódzkiej 93,5%. Mimo wzrostu liczby miejsc w przedszkolach występują jeszcze pewne braki i niezaspokojony popyt w tym zakresie.  </w:t>
      </w:r>
    </w:p>
    <w:p w14:paraId="4AB78595" w14:textId="77777777" w:rsidR="005761B6" w:rsidRPr="00717BC7" w:rsidRDefault="005761B6" w:rsidP="005761B6">
      <w:pPr>
        <w:autoSpaceDE w:val="0"/>
        <w:autoSpaceDN w:val="0"/>
        <w:adjustRightInd w:val="0"/>
        <w:spacing w:after="0"/>
        <w:ind w:firstLine="709"/>
        <w:jc w:val="both"/>
        <w:rPr>
          <w:rFonts w:ascii="Times New Roman" w:hAnsi="Times New Roman" w:cs="Times New Roman"/>
          <w:sz w:val="24"/>
          <w:szCs w:val="24"/>
          <w:lang w:eastAsia="pl-PL"/>
        </w:rPr>
      </w:pPr>
    </w:p>
    <w:p w14:paraId="7D8C784C" w14:textId="38F61D12"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4" w:name="_Toc109901022"/>
      <w:r w:rsidRPr="00717BC7">
        <w:rPr>
          <w:rFonts w:ascii="Times New Roman" w:hAnsi="Times New Roman" w:cs="Times New Roman"/>
          <w:b/>
          <w:bCs/>
          <w:color w:val="auto"/>
          <w:sz w:val="24"/>
          <w:szCs w:val="24"/>
          <w:u w:val="single"/>
        </w:rPr>
        <w:t>Kapitał społeczny</w:t>
      </w:r>
      <w:bookmarkEnd w:id="14"/>
    </w:p>
    <w:p w14:paraId="10EFED47" w14:textId="77777777" w:rsidR="005761B6" w:rsidRPr="00717BC7" w:rsidRDefault="005761B6" w:rsidP="005761B6">
      <w:pPr>
        <w:pStyle w:val="Nagwek2"/>
        <w:spacing w:before="0"/>
        <w:rPr>
          <w:rFonts w:ascii="Times New Roman" w:hAnsi="Times New Roman" w:cs="Times New Roman"/>
          <w:b/>
          <w:color w:val="auto"/>
          <w:sz w:val="24"/>
          <w:szCs w:val="24"/>
        </w:rPr>
      </w:pPr>
    </w:p>
    <w:p w14:paraId="5F6E8566"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Aktywność obywatelska, liczba i działalność organizacji pozarządowych;</w:t>
      </w:r>
    </w:p>
    <w:p w14:paraId="2E007445" w14:textId="77777777" w:rsidR="005761B6" w:rsidRPr="00717BC7" w:rsidRDefault="005761B6">
      <w:pPr>
        <w:pStyle w:val="Akapitzlist"/>
        <w:numPr>
          <w:ilvl w:val="0"/>
          <w:numId w:val="28"/>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W okresie 2015-2020 liczba fundacji, stowarzyszeń i organizacji społecznych przypadająca na 10 tys. mieszkańców była w gminie Góra Kalwaria w ujęciu ogółem oraz w mieście niższa od odpowiednich średnich dla województwa mazowieckiego oraz Polski (zawyżane przez największe miasta, w tym Warszawę). Z kolei obszary wiejskie cechował wyższy poziom nasycenia takimi podmiotami w zestawieniu z odpowiednimi średnimi dla kraju i województwa.</w:t>
      </w:r>
    </w:p>
    <w:p w14:paraId="62794937" w14:textId="77777777" w:rsidR="005761B6" w:rsidRPr="00717BC7" w:rsidRDefault="005761B6" w:rsidP="005761B6">
      <w:pPr>
        <w:autoSpaceDE w:val="0"/>
        <w:autoSpaceDN w:val="0"/>
        <w:adjustRightInd w:val="0"/>
        <w:spacing w:after="0"/>
        <w:rPr>
          <w:rFonts w:ascii="Times New Roman" w:hAnsi="Times New Roman" w:cs="Times New Roman"/>
          <w:sz w:val="24"/>
          <w:szCs w:val="24"/>
        </w:rPr>
      </w:pPr>
    </w:p>
    <w:p w14:paraId="61FAAE20" w14:textId="77777777" w:rsidR="005761B6" w:rsidRPr="00717BC7" w:rsidRDefault="005761B6" w:rsidP="005761B6">
      <w:pPr>
        <w:rPr>
          <w:rFonts w:ascii="Times New Roman" w:hAnsi="Times New Roman" w:cs="Times New Roman"/>
          <w:sz w:val="24"/>
          <w:szCs w:val="24"/>
          <w:u w:val="single"/>
        </w:rPr>
      </w:pPr>
      <w:r w:rsidRPr="00717BC7">
        <w:rPr>
          <w:rFonts w:ascii="Times New Roman" w:hAnsi="Times New Roman" w:cs="Times New Roman"/>
          <w:sz w:val="24"/>
          <w:szCs w:val="24"/>
          <w:u w:val="single"/>
        </w:rPr>
        <w:t>Frekwencja w wyborach;</w:t>
      </w:r>
    </w:p>
    <w:p w14:paraId="68F6F816" w14:textId="77777777" w:rsidR="005761B6" w:rsidRPr="00717BC7" w:rsidRDefault="005761B6">
      <w:pPr>
        <w:pStyle w:val="Akapitzlist"/>
        <w:numPr>
          <w:ilvl w:val="0"/>
          <w:numId w:val="27"/>
        </w:numPr>
        <w:spacing w:after="0" w:line="276" w:lineRule="auto"/>
        <w:jc w:val="both"/>
        <w:rPr>
          <w:rFonts w:ascii="Times New Roman" w:hAnsi="Times New Roman" w:cs="Times New Roman"/>
          <w:sz w:val="24"/>
          <w:szCs w:val="24"/>
          <w:shd w:val="clear" w:color="auto" w:fill="FF0000"/>
        </w:rPr>
      </w:pPr>
      <w:r w:rsidRPr="00717BC7">
        <w:rPr>
          <w:rFonts w:ascii="Times New Roman" w:hAnsi="Times New Roman" w:cs="Times New Roman"/>
          <w:sz w:val="24"/>
          <w:szCs w:val="24"/>
        </w:rPr>
        <w:t>Wskaźnik zaangażowania społeczności lokalnych mierzony frekwencją wyborczą w porównaniu z najbliższym otoczeniem gminy Góra Kalwaria kształtował się na średnim poziomie. W różnych fazach wyborów samorządowych w 2018 r. w gminie Góra Kalwaria brało udział w granicach 46-56% osób uprawnionych. Na tle pozostałych 5 gmin powiatu piaseczyńskiego, frekwencja ta pozycjonuje gminę Góra Kalwaria na pozycji poniżej Konstancina-Jeziornej, Lesznowoli i Piaseczna, a powyżej Tarczyna i Prażmowa.</w:t>
      </w:r>
    </w:p>
    <w:p w14:paraId="6598447F" w14:textId="77777777" w:rsidR="005761B6" w:rsidRPr="00717BC7" w:rsidRDefault="005761B6" w:rsidP="005761B6">
      <w:pPr>
        <w:pStyle w:val="Nagwek2"/>
        <w:spacing w:before="0"/>
        <w:rPr>
          <w:rFonts w:ascii="Times New Roman" w:hAnsi="Times New Roman" w:cs="Times New Roman"/>
          <w:b/>
          <w:color w:val="auto"/>
          <w:sz w:val="24"/>
          <w:szCs w:val="24"/>
        </w:rPr>
      </w:pPr>
    </w:p>
    <w:p w14:paraId="1D88BA8B" w14:textId="77777777" w:rsidR="005761B6" w:rsidRPr="00717BC7" w:rsidRDefault="005761B6" w:rsidP="005761B6">
      <w:pPr>
        <w:rPr>
          <w:rFonts w:ascii="Times New Roman" w:hAnsi="Times New Roman" w:cs="Times New Roman"/>
          <w:sz w:val="24"/>
          <w:szCs w:val="24"/>
        </w:rPr>
      </w:pPr>
      <w:r w:rsidRPr="00717BC7">
        <w:rPr>
          <w:rFonts w:ascii="Times New Roman" w:hAnsi="Times New Roman" w:cs="Times New Roman"/>
          <w:sz w:val="24"/>
          <w:szCs w:val="24"/>
          <w:u w:val="single"/>
        </w:rPr>
        <w:t>Współpraca międzysektorowa, w tym analiza otwartych konkursów ofert</w:t>
      </w:r>
      <w:r w:rsidRPr="00717BC7">
        <w:rPr>
          <w:rFonts w:ascii="Times New Roman" w:hAnsi="Times New Roman" w:cs="Times New Roman"/>
          <w:bCs/>
          <w:sz w:val="24"/>
          <w:szCs w:val="24"/>
          <w:u w:val="single"/>
        </w:rPr>
        <w:t>;</w:t>
      </w:r>
      <w:r w:rsidRPr="00717BC7">
        <w:rPr>
          <w:rFonts w:ascii="Times New Roman" w:hAnsi="Times New Roman" w:cs="Times New Roman"/>
          <w:b/>
          <w:sz w:val="24"/>
          <w:szCs w:val="24"/>
          <w:u w:val="single"/>
        </w:rPr>
        <w:t xml:space="preserve"> </w:t>
      </w:r>
    </w:p>
    <w:p w14:paraId="21692A62" w14:textId="77777777" w:rsidR="005761B6" w:rsidRPr="00717BC7" w:rsidRDefault="005761B6">
      <w:pPr>
        <w:pStyle w:val="Akapitzlist"/>
        <w:numPr>
          <w:ilvl w:val="0"/>
          <w:numId w:val="27"/>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lastRenderedPageBreak/>
        <w:t>W Gminie Góra Kalwaria rozwijana jest intensywnie współpraca międzysektorowa w układzie samorząd lokalny - organizacje pozarządowe i sektor prywatny. Potwierdza to duża liczba zadań realizowanych przez organizacje pozarządowe na terenie gminy W szczególności obejmowały one działania z zakresu: kultury i ochrony dziedzictwa narodowego, polityki społecznej i pomocy rodzinie, ratownictwo i ochronę ludności, kultury fizycznej i sportu, gospodarki odpadami oraz profilaktyki i rozwiązywania problemów alkoholowych;</w:t>
      </w:r>
    </w:p>
    <w:p w14:paraId="5A8BBACE" w14:textId="77777777" w:rsidR="005761B6" w:rsidRPr="00717BC7" w:rsidRDefault="005761B6">
      <w:pPr>
        <w:pStyle w:val="Akapitzlist"/>
        <w:numPr>
          <w:ilvl w:val="0"/>
          <w:numId w:val="27"/>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Poza tym, w trybie pozakonkursowym (małych grantów) przyznano dotacje na realizację zadań w czterech obszarach: polityki społecznej, profilaktyki uzależnień i przeciwdziałania alkoholizmowi; kultury i ochrony dziedzictwa narodowego; kultury fizycznej i sportu;</w:t>
      </w:r>
    </w:p>
    <w:p w14:paraId="3D8A5C6F" w14:textId="77777777" w:rsidR="005761B6" w:rsidRPr="00717BC7" w:rsidRDefault="005761B6">
      <w:pPr>
        <w:pStyle w:val="Akapitzlist"/>
        <w:numPr>
          <w:ilvl w:val="0"/>
          <w:numId w:val="27"/>
        </w:numPr>
        <w:autoSpaceDE w:val="0"/>
        <w:autoSpaceDN w:val="0"/>
        <w:adjustRightInd w:val="0"/>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 xml:space="preserve">Na terenie gminy Góra Kalwaria działa ok. 35 organizacji pozarządowych. Z tych organizacji 24 czynnie i regularnie uczestniczą w realizacji zadań własnych gminy biorąc udział w konkursach poprzez realizację zadań z własnej inicjatywy. Organizacje pozarządowe działające na rzecz mieszkańców gminy Góra Kalwaria w 2020 roku realizowały swoje zadania w oparciu o współpracę z Gminą Góra Kalwaria. </w:t>
      </w:r>
    </w:p>
    <w:p w14:paraId="0008E1E0" w14:textId="77777777" w:rsidR="005761B6" w:rsidRPr="00717BC7" w:rsidRDefault="005761B6" w:rsidP="005761B6">
      <w:pPr>
        <w:pStyle w:val="Nagwek1"/>
        <w:spacing w:before="0"/>
        <w:rPr>
          <w:rFonts w:ascii="Times New Roman" w:hAnsi="Times New Roman" w:cs="Times New Roman"/>
          <w:b/>
          <w:color w:val="auto"/>
          <w:sz w:val="24"/>
          <w:szCs w:val="24"/>
        </w:rPr>
      </w:pPr>
    </w:p>
    <w:p w14:paraId="6FCDEFCA" w14:textId="4D8D841A" w:rsidR="005761B6" w:rsidRPr="00717BC7" w:rsidRDefault="005761B6" w:rsidP="005761B6">
      <w:pPr>
        <w:pStyle w:val="Nagwek1"/>
        <w:spacing w:before="0"/>
        <w:rPr>
          <w:rFonts w:ascii="Times New Roman" w:hAnsi="Times New Roman" w:cs="Times New Roman"/>
          <w:b/>
          <w:bCs/>
          <w:color w:val="auto"/>
          <w:sz w:val="24"/>
          <w:szCs w:val="24"/>
          <w:u w:val="single"/>
        </w:rPr>
      </w:pPr>
      <w:bookmarkStart w:id="15" w:name="_Toc109901023"/>
      <w:r w:rsidRPr="00717BC7">
        <w:rPr>
          <w:rFonts w:ascii="Times New Roman" w:hAnsi="Times New Roman" w:cs="Times New Roman"/>
          <w:b/>
          <w:bCs/>
          <w:color w:val="auto"/>
          <w:sz w:val="24"/>
          <w:szCs w:val="24"/>
          <w:u w:val="single"/>
        </w:rPr>
        <w:t>Finanse samorządowe</w:t>
      </w:r>
      <w:bookmarkEnd w:id="15"/>
    </w:p>
    <w:p w14:paraId="4A751909" w14:textId="77777777" w:rsidR="005761B6" w:rsidRPr="00717BC7" w:rsidRDefault="005761B6" w:rsidP="005761B6">
      <w:pPr>
        <w:jc w:val="both"/>
        <w:rPr>
          <w:rFonts w:ascii="Times New Roman" w:hAnsi="Times New Roman" w:cs="Times New Roman"/>
          <w:sz w:val="24"/>
          <w:szCs w:val="24"/>
          <w:u w:val="single"/>
        </w:rPr>
      </w:pPr>
    </w:p>
    <w:p w14:paraId="094E511B" w14:textId="77777777" w:rsidR="005761B6" w:rsidRPr="00717BC7" w:rsidRDefault="005761B6">
      <w:pPr>
        <w:pStyle w:val="Akapitzlist"/>
        <w:numPr>
          <w:ilvl w:val="0"/>
          <w:numId w:val="39"/>
        </w:numPr>
        <w:spacing w:after="0" w:line="276" w:lineRule="auto"/>
        <w:ind w:left="426"/>
        <w:jc w:val="both"/>
        <w:rPr>
          <w:rFonts w:ascii="Times New Roman" w:hAnsi="Times New Roman" w:cs="Times New Roman"/>
          <w:sz w:val="24"/>
          <w:szCs w:val="24"/>
        </w:rPr>
      </w:pPr>
      <w:r w:rsidRPr="00717BC7">
        <w:rPr>
          <w:rFonts w:ascii="Times New Roman" w:hAnsi="Times New Roman" w:cs="Times New Roman"/>
          <w:sz w:val="24"/>
          <w:szCs w:val="24"/>
        </w:rPr>
        <w:t>W latach 2015-2020 sytuacja finansowa gminy była stabilna. Następował stały przyrost dochodów i wydatków budżetowych. Nie wystąpiły zagrożenia w zakresie wyniku operacyjnego i finansowego, gmina corocznie generowała nadwyżkę operacyjną;</w:t>
      </w:r>
    </w:p>
    <w:p w14:paraId="1C8A1C54" w14:textId="77777777" w:rsidR="005761B6" w:rsidRPr="00717BC7" w:rsidRDefault="005761B6">
      <w:pPr>
        <w:pStyle w:val="Akapitzlist"/>
        <w:numPr>
          <w:ilvl w:val="0"/>
          <w:numId w:val="36"/>
        </w:numPr>
        <w:tabs>
          <w:tab w:val="clear" w:pos="360"/>
        </w:tabs>
        <w:spacing w:after="0" w:line="276" w:lineRule="auto"/>
        <w:jc w:val="both"/>
        <w:rPr>
          <w:rFonts w:ascii="Times New Roman" w:hAnsi="Times New Roman" w:cs="Times New Roman"/>
          <w:sz w:val="24"/>
          <w:szCs w:val="24"/>
        </w:rPr>
      </w:pPr>
      <w:r w:rsidRPr="00717BC7">
        <w:rPr>
          <w:rFonts w:ascii="Times New Roman" w:hAnsi="Times New Roman" w:cs="Times New Roman"/>
          <w:sz w:val="24"/>
          <w:szCs w:val="24"/>
        </w:rPr>
        <w:t>Korzystne zmiany wystąpiły w zakresie struktury dochodów, czego wyrazem jest znaczny przyrost wartości dochodów z udziałów w podatkach budżetu państwa oraz lokalnych dochodów własnych. Wzrastające kwoty i udział procentowy wpływów z PIT są zewnętrznym wyrazem poprawy zamożności mieszkańców gminy i dobrej kondycji ekonomicznej podmiotów gospodarczych. Należy również podkreślić skuteczność gminy w pozyskiwaniu bezzwrotnych źródeł finansowania, w tym dotacji unijnych. Oceniając stronę dochodową budżetu należy podkreślić wzrost samodzielności finansowej gminy;</w:t>
      </w:r>
    </w:p>
    <w:p w14:paraId="796D79BC" w14:textId="77777777" w:rsidR="005761B6" w:rsidRPr="00717BC7" w:rsidRDefault="005761B6">
      <w:pPr>
        <w:pStyle w:val="Akapitzlist"/>
        <w:numPr>
          <w:ilvl w:val="0"/>
          <w:numId w:val="37"/>
        </w:numPr>
        <w:spacing w:after="0" w:line="276" w:lineRule="auto"/>
        <w:ind w:left="426"/>
        <w:jc w:val="both"/>
        <w:rPr>
          <w:rFonts w:ascii="Times New Roman" w:hAnsi="Times New Roman" w:cs="Times New Roman"/>
          <w:sz w:val="24"/>
          <w:szCs w:val="24"/>
        </w:rPr>
      </w:pPr>
      <w:bookmarkStart w:id="16" w:name="_Toc526974459"/>
      <w:r w:rsidRPr="00717BC7">
        <w:rPr>
          <w:rFonts w:ascii="Times New Roman" w:hAnsi="Times New Roman" w:cs="Times New Roman"/>
          <w:sz w:val="24"/>
          <w:szCs w:val="24"/>
        </w:rPr>
        <w:t xml:space="preserve">Dynamika wydatków budżetowych była o prawie 15 p.proc. niższa od tempa zmian dochodów. Wzrost wielkości wydatków ogółem był w głównej mierze następstwem zwiększenia wydatków bieżących. </w:t>
      </w:r>
      <w:bookmarkEnd w:id="16"/>
      <w:r w:rsidRPr="00717BC7">
        <w:rPr>
          <w:rFonts w:ascii="Times New Roman" w:hAnsi="Times New Roman" w:cs="Times New Roman"/>
          <w:sz w:val="24"/>
          <w:szCs w:val="24"/>
        </w:rPr>
        <w:t xml:space="preserve">Występowały znaczące wahania wzajemnych proporcji wydatków bieżących i inwestycyjnych. W większości lat badanego okresu udział inwestycji w wydatkach ogółem gminy Góra Kalwaria kształtował się na poziomie nieco poniżej średnich krajowych, a ich wartości kwotowe były wyższe niż własny potencjał rozwojowy gminy. </w:t>
      </w:r>
      <w:bookmarkStart w:id="17" w:name="_Toc526974461"/>
    </w:p>
    <w:p w14:paraId="77E41C7A" w14:textId="77777777" w:rsidR="005761B6" w:rsidRPr="00717BC7" w:rsidRDefault="005761B6">
      <w:pPr>
        <w:pStyle w:val="Akapitzlist"/>
        <w:numPr>
          <w:ilvl w:val="0"/>
          <w:numId w:val="37"/>
        </w:numPr>
        <w:spacing w:after="0" w:line="276" w:lineRule="auto"/>
        <w:ind w:left="426"/>
        <w:jc w:val="both"/>
        <w:rPr>
          <w:rFonts w:ascii="Times New Roman" w:hAnsi="Times New Roman" w:cs="Times New Roman"/>
          <w:b/>
          <w:sz w:val="24"/>
          <w:szCs w:val="24"/>
        </w:rPr>
      </w:pPr>
      <w:r w:rsidRPr="00717BC7">
        <w:rPr>
          <w:rFonts w:ascii="Times New Roman" w:hAnsi="Times New Roman" w:cs="Times New Roman"/>
          <w:sz w:val="24"/>
          <w:szCs w:val="24"/>
        </w:rPr>
        <w:t>W strukturze wydatków bieżących największe kwoty kierowano na cele opieki i świadczeń społecznych (34,1%), a w dalszej kolejności na oświatę i wychowanie (32,5%), gospodarkę komunalną (12,4%) oraz administrację (6,5%). Wielkość wydatków inwestycyjnych była zróżnicowana w czasie, najwyższe wartości osiągnęły one w 2017 r. (17,6 mln). Największe kwoty zainwestowano w dziale gospodarka komunalna i ochrona środowiska (średniorocznie 21%), a w dalszej kolejności w działach: oświata i wychowanie (21,3%), gospodarka mieszkaniowa (20,4%) oraz transport (18,4%).</w:t>
      </w:r>
    </w:p>
    <w:bookmarkEnd w:id="17"/>
    <w:p w14:paraId="052565D7" w14:textId="0241E42B" w:rsidR="005761B6" w:rsidRDefault="005761B6">
      <w:pPr>
        <w:pStyle w:val="Akapitzlist"/>
        <w:numPr>
          <w:ilvl w:val="0"/>
          <w:numId w:val="37"/>
        </w:numPr>
        <w:spacing w:after="0" w:line="276" w:lineRule="auto"/>
        <w:ind w:left="426"/>
        <w:jc w:val="both"/>
        <w:rPr>
          <w:rFonts w:ascii="Times New Roman" w:hAnsi="Times New Roman" w:cs="Times New Roman"/>
          <w:bCs/>
          <w:sz w:val="24"/>
          <w:szCs w:val="24"/>
        </w:rPr>
      </w:pPr>
      <w:r w:rsidRPr="00717BC7">
        <w:rPr>
          <w:rFonts w:ascii="Times New Roman" w:hAnsi="Times New Roman" w:cs="Times New Roman"/>
          <w:sz w:val="24"/>
          <w:szCs w:val="24"/>
        </w:rPr>
        <w:lastRenderedPageBreak/>
        <w:t>Oceniając poziom wyniku finansowego należy podkreślić, brak zagrożenia dla długookresowej płynności finansowej i zdolności kredytowej gminy</w:t>
      </w:r>
      <w:bookmarkStart w:id="18" w:name="_Toc486028649"/>
      <w:r w:rsidRPr="00717BC7">
        <w:rPr>
          <w:rFonts w:ascii="Times New Roman" w:hAnsi="Times New Roman" w:cs="Times New Roman"/>
          <w:sz w:val="24"/>
          <w:szCs w:val="24"/>
        </w:rPr>
        <w:t xml:space="preserve">. Jego wartości były zmienne w czasie. Zadłużenie gminy zachowuje bezpieczne wartości pod względem prawnym i ekonomicznym. </w:t>
      </w:r>
      <w:bookmarkEnd w:id="18"/>
      <w:r w:rsidRPr="00717BC7">
        <w:rPr>
          <w:rFonts w:ascii="Times New Roman" w:hAnsi="Times New Roman" w:cs="Times New Roman"/>
          <w:bCs/>
          <w:sz w:val="24"/>
          <w:szCs w:val="24"/>
        </w:rPr>
        <w:t xml:space="preserve">Indywidualny wskaźnik zadłużenia przyjmuje w całym okresie bezpieczne wartości w stosunku do wymogów prawnych wyznaczonych ustawą o finansach publicznych. Prognozy wykazują, ze w całym analizowanym i prognozowanym okresie gmina Góra Kalwaria wypełnia dwie podstawowe reguły fiskalne, tj. zgodność nadwyżki operacyjnej oraz nowego wskaźnika zadłużenia. </w:t>
      </w:r>
    </w:p>
    <w:p w14:paraId="06C0A3C7" w14:textId="77777777" w:rsidR="005761B6" w:rsidRPr="00213798" w:rsidRDefault="005761B6" w:rsidP="005761B6">
      <w:pPr>
        <w:spacing w:after="0"/>
        <w:rPr>
          <w:rFonts w:ascii="Times New Roman" w:hAnsi="Times New Roman" w:cs="Times New Roman"/>
          <w:sz w:val="24"/>
          <w:szCs w:val="24"/>
        </w:rPr>
      </w:pPr>
    </w:p>
    <w:p w14:paraId="4469F6CA" w14:textId="77777777" w:rsidR="00A36CBA" w:rsidRDefault="00A36CBA" w:rsidP="00061FDC">
      <w:pPr>
        <w:pStyle w:val="Nagwek1"/>
        <w:rPr>
          <w:rFonts w:ascii="Times New Roman" w:hAnsi="Times New Roman" w:cs="Times New Roman"/>
          <w:b/>
          <w:bCs/>
          <w:color w:val="0070C0"/>
          <w:sz w:val="28"/>
          <w:szCs w:val="28"/>
        </w:rPr>
      </w:pPr>
    </w:p>
    <w:p w14:paraId="5C9140B9" w14:textId="77777777" w:rsidR="00A36CBA" w:rsidRDefault="00A36CBA" w:rsidP="00061FDC">
      <w:pPr>
        <w:pStyle w:val="Nagwek1"/>
        <w:rPr>
          <w:rFonts w:ascii="Times New Roman" w:hAnsi="Times New Roman" w:cs="Times New Roman"/>
          <w:b/>
          <w:bCs/>
          <w:color w:val="0070C0"/>
          <w:sz w:val="28"/>
          <w:szCs w:val="28"/>
        </w:rPr>
      </w:pPr>
    </w:p>
    <w:p w14:paraId="299B7D04" w14:textId="77777777" w:rsidR="00A36CBA" w:rsidRDefault="00A36CBA" w:rsidP="00061FDC">
      <w:pPr>
        <w:pStyle w:val="Nagwek1"/>
        <w:rPr>
          <w:rFonts w:ascii="Times New Roman" w:hAnsi="Times New Roman" w:cs="Times New Roman"/>
          <w:b/>
          <w:bCs/>
          <w:color w:val="0070C0"/>
          <w:sz w:val="28"/>
          <w:szCs w:val="28"/>
        </w:rPr>
      </w:pPr>
    </w:p>
    <w:p w14:paraId="238E2768" w14:textId="77777777" w:rsidR="00A36CBA" w:rsidRDefault="00A36CBA" w:rsidP="00061FDC">
      <w:pPr>
        <w:pStyle w:val="Nagwek1"/>
        <w:rPr>
          <w:rFonts w:ascii="Times New Roman" w:hAnsi="Times New Roman" w:cs="Times New Roman"/>
          <w:b/>
          <w:bCs/>
          <w:color w:val="0070C0"/>
          <w:sz w:val="28"/>
          <w:szCs w:val="28"/>
        </w:rPr>
      </w:pPr>
    </w:p>
    <w:p w14:paraId="23045B51" w14:textId="77777777" w:rsidR="00A36CBA" w:rsidRDefault="00A36CBA" w:rsidP="00061FDC">
      <w:pPr>
        <w:pStyle w:val="Nagwek1"/>
        <w:rPr>
          <w:rFonts w:ascii="Times New Roman" w:hAnsi="Times New Roman" w:cs="Times New Roman"/>
          <w:b/>
          <w:bCs/>
          <w:color w:val="0070C0"/>
          <w:sz w:val="28"/>
          <w:szCs w:val="28"/>
        </w:rPr>
      </w:pPr>
    </w:p>
    <w:p w14:paraId="3ECA129F" w14:textId="77777777" w:rsidR="00A36CBA" w:rsidRDefault="00A36CBA" w:rsidP="00061FDC">
      <w:pPr>
        <w:pStyle w:val="Nagwek1"/>
        <w:rPr>
          <w:rFonts w:ascii="Times New Roman" w:hAnsi="Times New Roman" w:cs="Times New Roman"/>
          <w:b/>
          <w:bCs/>
          <w:color w:val="0070C0"/>
          <w:sz w:val="28"/>
          <w:szCs w:val="28"/>
        </w:rPr>
      </w:pPr>
    </w:p>
    <w:p w14:paraId="5555C6C0" w14:textId="77777777" w:rsidR="00A36CBA" w:rsidRDefault="00A36CBA" w:rsidP="00061FDC">
      <w:pPr>
        <w:pStyle w:val="Nagwek1"/>
        <w:rPr>
          <w:rFonts w:ascii="Times New Roman" w:hAnsi="Times New Roman" w:cs="Times New Roman"/>
          <w:b/>
          <w:bCs/>
          <w:color w:val="0070C0"/>
          <w:sz w:val="28"/>
          <w:szCs w:val="28"/>
        </w:rPr>
      </w:pPr>
    </w:p>
    <w:p w14:paraId="37484A29" w14:textId="77777777" w:rsidR="00A36CBA" w:rsidRDefault="00A36CBA" w:rsidP="00061FDC">
      <w:pPr>
        <w:pStyle w:val="Nagwek1"/>
        <w:rPr>
          <w:rFonts w:ascii="Times New Roman" w:hAnsi="Times New Roman" w:cs="Times New Roman"/>
          <w:b/>
          <w:bCs/>
          <w:color w:val="0070C0"/>
          <w:sz w:val="28"/>
          <w:szCs w:val="28"/>
        </w:rPr>
      </w:pPr>
    </w:p>
    <w:p w14:paraId="40B9CBDD" w14:textId="77777777" w:rsidR="00A36CBA" w:rsidRDefault="00A36CBA" w:rsidP="00061FDC">
      <w:pPr>
        <w:pStyle w:val="Nagwek1"/>
        <w:rPr>
          <w:rFonts w:ascii="Times New Roman" w:hAnsi="Times New Roman" w:cs="Times New Roman"/>
          <w:b/>
          <w:bCs/>
          <w:color w:val="0070C0"/>
          <w:sz w:val="28"/>
          <w:szCs w:val="28"/>
        </w:rPr>
      </w:pPr>
    </w:p>
    <w:p w14:paraId="3F0F1B67" w14:textId="77777777" w:rsidR="00A36CBA" w:rsidRDefault="00A36CBA" w:rsidP="00061FDC">
      <w:pPr>
        <w:pStyle w:val="Nagwek1"/>
        <w:rPr>
          <w:rFonts w:ascii="Times New Roman" w:hAnsi="Times New Roman" w:cs="Times New Roman"/>
          <w:b/>
          <w:bCs/>
          <w:color w:val="0070C0"/>
          <w:sz w:val="28"/>
          <w:szCs w:val="28"/>
        </w:rPr>
      </w:pPr>
    </w:p>
    <w:p w14:paraId="73804A5B" w14:textId="77777777" w:rsidR="00A36CBA" w:rsidRDefault="00A36CBA" w:rsidP="00061FDC">
      <w:pPr>
        <w:pStyle w:val="Nagwek1"/>
        <w:rPr>
          <w:rFonts w:ascii="Times New Roman" w:hAnsi="Times New Roman" w:cs="Times New Roman"/>
          <w:b/>
          <w:bCs/>
          <w:color w:val="0070C0"/>
          <w:sz w:val="28"/>
          <w:szCs w:val="28"/>
        </w:rPr>
      </w:pPr>
    </w:p>
    <w:p w14:paraId="0360B7F4" w14:textId="77777777" w:rsidR="00A36CBA" w:rsidRDefault="00A36CBA" w:rsidP="00061FDC">
      <w:pPr>
        <w:pStyle w:val="Nagwek1"/>
        <w:rPr>
          <w:rFonts w:ascii="Times New Roman" w:hAnsi="Times New Roman" w:cs="Times New Roman"/>
          <w:b/>
          <w:bCs/>
          <w:color w:val="0070C0"/>
          <w:sz w:val="28"/>
          <w:szCs w:val="28"/>
        </w:rPr>
      </w:pPr>
    </w:p>
    <w:p w14:paraId="643646C4" w14:textId="77777777" w:rsidR="00A36CBA" w:rsidRDefault="00A36CBA" w:rsidP="00061FDC">
      <w:pPr>
        <w:pStyle w:val="Nagwek1"/>
        <w:rPr>
          <w:rFonts w:ascii="Times New Roman" w:hAnsi="Times New Roman" w:cs="Times New Roman"/>
          <w:b/>
          <w:bCs/>
          <w:color w:val="0070C0"/>
          <w:sz w:val="28"/>
          <w:szCs w:val="28"/>
        </w:rPr>
      </w:pPr>
    </w:p>
    <w:p w14:paraId="3A2E6B43" w14:textId="77777777" w:rsidR="00A36CBA" w:rsidRDefault="00A36CBA" w:rsidP="00061FDC">
      <w:pPr>
        <w:pStyle w:val="Nagwek1"/>
        <w:rPr>
          <w:rFonts w:ascii="Times New Roman" w:hAnsi="Times New Roman" w:cs="Times New Roman"/>
          <w:b/>
          <w:bCs/>
          <w:color w:val="0070C0"/>
          <w:sz w:val="28"/>
          <w:szCs w:val="28"/>
        </w:rPr>
      </w:pPr>
    </w:p>
    <w:p w14:paraId="1E0FCB85" w14:textId="77777777" w:rsidR="00A36CBA" w:rsidRDefault="00A36CBA" w:rsidP="00061FDC">
      <w:pPr>
        <w:pStyle w:val="Nagwek1"/>
        <w:rPr>
          <w:rFonts w:ascii="Times New Roman" w:hAnsi="Times New Roman" w:cs="Times New Roman"/>
          <w:b/>
          <w:bCs/>
          <w:color w:val="0070C0"/>
          <w:sz w:val="28"/>
          <w:szCs w:val="28"/>
        </w:rPr>
      </w:pPr>
    </w:p>
    <w:p w14:paraId="68FC5013" w14:textId="3298D028" w:rsidR="00A36CBA" w:rsidRDefault="00A36CBA" w:rsidP="00061FDC">
      <w:pPr>
        <w:pStyle w:val="Nagwek1"/>
        <w:rPr>
          <w:rFonts w:ascii="Times New Roman" w:hAnsi="Times New Roman" w:cs="Times New Roman"/>
          <w:b/>
          <w:bCs/>
          <w:color w:val="0070C0"/>
          <w:sz w:val="28"/>
          <w:szCs w:val="28"/>
        </w:rPr>
      </w:pPr>
    </w:p>
    <w:p w14:paraId="2B764D8C" w14:textId="7489C47B" w:rsidR="00A36CBA" w:rsidRDefault="00A36CBA" w:rsidP="00A36CBA"/>
    <w:p w14:paraId="64438D9B" w14:textId="0E9C54F2" w:rsidR="00A36CBA" w:rsidRDefault="00A36CBA" w:rsidP="00A36CBA"/>
    <w:p w14:paraId="1E736F07" w14:textId="77777777" w:rsidR="00A36CBA" w:rsidRPr="00A36CBA" w:rsidRDefault="00A36CBA" w:rsidP="00A36CBA"/>
    <w:p w14:paraId="5990E4EB" w14:textId="2B711B68" w:rsidR="005761B6" w:rsidRPr="008F6922" w:rsidRDefault="00717BC7" w:rsidP="009A4B77">
      <w:pPr>
        <w:pStyle w:val="Nagwek1"/>
        <w:numPr>
          <w:ilvl w:val="0"/>
          <w:numId w:val="123"/>
        </w:numPr>
        <w:rPr>
          <w:rFonts w:ascii="Times New Roman" w:hAnsi="Times New Roman" w:cs="Times New Roman"/>
          <w:b/>
          <w:bCs/>
          <w:color w:val="0070C0"/>
          <w:sz w:val="28"/>
          <w:szCs w:val="28"/>
        </w:rPr>
      </w:pPr>
      <w:r w:rsidRPr="008F6922">
        <w:rPr>
          <w:rFonts w:ascii="Times New Roman" w:hAnsi="Times New Roman" w:cs="Times New Roman"/>
          <w:b/>
          <w:bCs/>
          <w:color w:val="0070C0"/>
          <w:sz w:val="28"/>
          <w:szCs w:val="28"/>
        </w:rPr>
        <w:lastRenderedPageBreak/>
        <w:t xml:space="preserve">Problemy i potrzeby rozwojowe w </w:t>
      </w:r>
      <w:r w:rsidR="00A36CBA">
        <w:rPr>
          <w:rFonts w:ascii="Times New Roman" w:hAnsi="Times New Roman" w:cs="Times New Roman"/>
          <w:b/>
          <w:bCs/>
          <w:color w:val="0070C0"/>
          <w:sz w:val="28"/>
          <w:szCs w:val="28"/>
        </w:rPr>
        <w:t>M</w:t>
      </w:r>
      <w:r w:rsidRPr="008F6922">
        <w:rPr>
          <w:rFonts w:ascii="Times New Roman" w:hAnsi="Times New Roman" w:cs="Times New Roman"/>
          <w:b/>
          <w:bCs/>
          <w:color w:val="0070C0"/>
          <w:sz w:val="28"/>
          <w:szCs w:val="28"/>
        </w:rPr>
        <w:t xml:space="preserve">ieście i </w:t>
      </w:r>
      <w:r w:rsidR="00A36CBA">
        <w:rPr>
          <w:rFonts w:ascii="Times New Roman" w:hAnsi="Times New Roman" w:cs="Times New Roman"/>
          <w:b/>
          <w:bCs/>
          <w:color w:val="0070C0"/>
          <w:sz w:val="28"/>
          <w:szCs w:val="28"/>
        </w:rPr>
        <w:t>G</w:t>
      </w:r>
      <w:r w:rsidRPr="008F6922">
        <w:rPr>
          <w:rFonts w:ascii="Times New Roman" w:hAnsi="Times New Roman" w:cs="Times New Roman"/>
          <w:b/>
          <w:bCs/>
          <w:color w:val="0070C0"/>
          <w:sz w:val="28"/>
          <w:szCs w:val="28"/>
        </w:rPr>
        <w:t>minie</w:t>
      </w:r>
      <w:r w:rsidR="008F6922" w:rsidRPr="008F6922">
        <w:rPr>
          <w:rFonts w:ascii="Times New Roman" w:hAnsi="Times New Roman" w:cs="Times New Roman"/>
          <w:b/>
          <w:bCs/>
          <w:color w:val="0070C0"/>
          <w:sz w:val="28"/>
          <w:szCs w:val="28"/>
        </w:rPr>
        <w:t xml:space="preserve"> Góra Kalwaria </w:t>
      </w:r>
    </w:p>
    <w:p w14:paraId="70F01E7B" w14:textId="46CE43A7" w:rsidR="00061FDC" w:rsidRPr="00213798" w:rsidRDefault="00061FDC" w:rsidP="00061FDC">
      <w:pPr>
        <w:rPr>
          <w:rFonts w:ascii="Times New Roman" w:hAnsi="Times New Roman" w:cs="Times New Roman"/>
        </w:rPr>
      </w:pPr>
    </w:p>
    <w:p w14:paraId="02267689" w14:textId="5E35E56A" w:rsidR="006E0C01" w:rsidRPr="00213798" w:rsidRDefault="006E0C01" w:rsidP="008F6922">
      <w:pPr>
        <w:spacing w:after="0"/>
        <w:jc w:val="both"/>
        <w:rPr>
          <w:rFonts w:ascii="Times New Roman" w:hAnsi="Times New Roman" w:cs="Times New Roman"/>
          <w:sz w:val="24"/>
          <w:szCs w:val="24"/>
        </w:rPr>
      </w:pPr>
      <w:r w:rsidRPr="00213798">
        <w:rPr>
          <w:rFonts w:ascii="Times New Roman" w:hAnsi="Times New Roman" w:cs="Times New Roman"/>
          <w:sz w:val="24"/>
          <w:szCs w:val="24"/>
        </w:rPr>
        <w:t>Przedstawion</w:t>
      </w:r>
      <w:r w:rsidR="0011065F">
        <w:rPr>
          <w:rFonts w:ascii="Times New Roman" w:hAnsi="Times New Roman" w:cs="Times New Roman"/>
          <w:sz w:val="24"/>
          <w:szCs w:val="24"/>
        </w:rPr>
        <w:t xml:space="preserve">e </w:t>
      </w:r>
      <w:r w:rsidRPr="00213798">
        <w:rPr>
          <w:rFonts w:ascii="Times New Roman" w:hAnsi="Times New Roman" w:cs="Times New Roman"/>
          <w:sz w:val="24"/>
          <w:szCs w:val="24"/>
        </w:rPr>
        <w:t>w poprzedni</w:t>
      </w:r>
      <w:r w:rsidR="0011065F">
        <w:rPr>
          <w:rFonts w:ascii="Times New Roman" w:hAnsi="Times New Roman" w:cs="Times New Roman"/>
          <w:sz w:val="24"/>
          <w:szCs w:val="24"/>
        </w:rPr>
        <w:t>ej</w:t>
      </w:r>
      <w:r w:rsidRPr="00213798">
        <w:rPr>
          <w:rFonts w:ascii="Times New Roman" w:hAnsi="Times New Roman" w:cs="Times New Roman"/>
          <w:sz w:val="24"/>
          <w:szCs w:val="24"/>
        </w:rPr>
        <w:t xml:space="preserve"> częśc</w:t>
      </w:r>
      <w:r w:rsidR="0011065F">
        <w:rPr>
          <w:rFonts w:ascii="Times New Roman" w:hAnsi="Times New Roman" w:cs="Times New Roman"/>
          <w:sz w:val="24"/>
          <w:szCs w:val="24"/>
        </w:rPr>
        <w:t>i</w:t>
      </w:r>
      <w:r w:rsidRPr="00213798">
        <w:rPr>
          <w:rFonts w:ascii="Times New Roman" w:hAnsi="Times New Roman" w:cs="Times New Roman"/>
          <w:sz w:val="24"/>
          <w:szCs w:val="24"/>
        </w:rPr>
        <w:t xml:space="preserve"> opracowania </w:t>
      </w:r>
      <w:r w:rsidR="0011065F">
        <w:rPr>
          <w:rFonts w:ascii="Times New Roman" w:hAnsi="Times New Roman" w:cs="Times New Roman"/>
          <w:sz w:val="24"/>
          <w:szCs w:val="24"/>
        </w:rPr>
        <w:t xml:space="preserve">wnioski z </w:t>
      </w:r>
      <w:r w:rsidRPr="00213798">
        <w:rPr>
          <w:rFonts w:ascii="Times New Roman" w:hAnsi="Times New Roman" w:cs="Times New Roman"/>
          <w:sz w:val="24"/>
          <w:szCs w:val="24"/>
        </w:rPr>
        <w:t>Diagnoz</w:t>
      </w:r>
      <w:r w:rsidR="0011065F">
        <w:rPr>
          <w:rFonts w:ascii="Times New Roman" w:hAnsi="Times New Roman" w:cs="Times New Roman"/>
          <w:sz w:val="24"/>
          <w:szCs w:val="24"/>
        </w:rPr>
        <w:t>y</w:t>
      </w:r>
      <w:r w:rsidRPr="00213798">
        <w:rPr>
          <w:rFonts w:ascii="Times New Roman" w:hAnsi="Times New Roman" w:cs="Times New Roman"/>
          <w:sz w:val="24"/>
          <w:szCs w:val="24"/>
        </w:rPr>
        <w:t xml:space="preserve"> ma</w:t>
      </w:r>
      <w:r w:rsidR="0011065F">
        <w:rPr>
          <w:rFonts w:ascii="Times New Roman" w:hAnsi="Times New Roman" w:cs="Times New Roman"/>
          <w:sz w:val="24"/>
          <w:szCs w:val="24"/>
        </w:rPr>
        <w:t>ją</w:t>
      </w:r>
      <w:r w:rsidRPr="00213798">
        <w:rPr>
          <w:rFonts w:ascii="Times New Roman" w:hAnsi="Times New Roman" w:cs="Times New Roman"/>
          <w:sz w:val="24"/>
          <w:szCs w:val="24"/>
        </w:rPr>
        <w:t xml:space="preserve"> charakter ekspercki</w:t>
      </w:r>
      <w:r w:rsidR="0011065F">
        <w:rPr>
          <w:rFonts w:ascii="Times New Roman" w:hAnsi="Times New Roman" w:cs="Times New Roman"/>
          <w:sz w:val="24"/>
          <w:szCs w:val="24"/>
        </w:rPr>
        <w:t xml:space="preserve">. </w:t>
      </w:r>
      <w:r w:rsidR="008F6922">
        <w:rPr>
          <w:rFonts w:ascii="Times New Roman" w:hAnsi="Times New Roman" w:cs="Times New Roman"/>
          <w:sz w:val="24"/>
          <w:szCs w:val="24"/>
        </w:rPr>
        <w:t xml:space="preserve">W toku prac eksperckich wydzielono dwie grupy czynników i barier mających wpływ na rozwój lokalny. </w:t>
      </w:r>
      <w:r w:rsidRPr="00213798">
        <w:rPr>
          <w:rFonts w:ascii="Times New Roman" w:hAnsi="Times New Roman" w:cs="Times New Roman"/>
          <w:sz w:val="24"/>
          <w:szCs w:val="24"/>
        </w:rPr>
        <w:t>Grupa pierwsza, to czynniki i bariery wynikające z uwarunkowań zewnętrznych, na które tak społeczność gminy, jak i władze lokalne nie mają decydującego, bądź żadnego wpływu, ale do przeciwdziałania którym muszą być przygotowane. Do tej grupy należy zaliczyć:</w:t>
      </w:r>
    </w:p>
    <w:p w14:paraId="189E0F95" w14:textId="77777777" w:rsidR="006E0C01" w:rsidRPr="00213798" w:rsidRDefault="006E0C01">
      <w:pPr>
        <w:pStyle w:val="Akapitzlist"/>
        <w:numPr>
          <w:ilvl w:val="0"/>
          <w:numId w:val="89"/>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ogólną sytuację społeczno-gospodarczą kraju i regionu;</w:t>
      </w:r>
    </w:p>
    <w:p w14:paraId="02C8883F" w14:textId="77777777" w:rsidR="006E0C01" w:rsidRPr="00213798" w:rsidRDefault="006E0C01">
      <w:pPr>
        <w:pStyle w:val="Akapitzlist"/>
        <w:numPr>
          <w:ilvl w:val="0"/>
          <w:numId w:val="89"/>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zasady polityki UE w zakresie ochrony środowiska, polityki społecznej, a nawet gospodarczej;</w:t>
      </w:r>
    </w:p>
    <w:p w14:paraId="621F9D72" w14:textId="77777777" w:rsidR="006E0C01" w:rsidRPr="00213798" w:rsidRDefault="006E0C01">
      <w:pPr>
        <w:pStyle w:val="Akapitzlist"/>
        <w:numPr>
          <w:ilvl w:val="0"/>
          <w:numId w:val="89"/>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niestabilny system podstawowych krajowych unormowań prawnych generujący   problemy organizacyjne i finansowe zwłaszcza dla jednostek samorządu terytorialnego szczebla podstawowego;</w:t>
      </w:r>
    </w:p>
    <w:p w14:paraId="71E7FFF8" w14:textId="77777777" w:rsidR="006E0C01" w:rsidRPr="00213798" w:rsidRDefault="006E0C01">
      <w:pPr>
        <w:pStyle w:val="Akapitzlist"/>
        <w:numPr>
          <w:ilvl w:val="0"/>
          <w:numId w:val="89"/>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zmienność zadań i priorytetów polityki rozwoju szczebla krajowego;</w:t>
      </w:r>
    </w:p>
    <w:p w14:paraId="6C53D0F7" w14:textId="7494B08D" w:rsidR="006E0C01" w:rsidRPr="00213798" w:rsidRDefault="006E0C01">
      <w:pPr>
        <w:pStyle w:val="Akapitzlist"/>
        <w:numPr>
          <w:ilvl w:val="0"/>
          <w:numId w:val="89"/>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konieczność zapewniania środków na współfinansowanie zadań unijnych oraz finansowanych innym</w:t>
      </w:r>
      <w:r w:rsidR="007A180F">
        <w:rPr>
          <w:rFonts w:ascii="Times New Roman" w:hAnsi="Times New Roman" w:cs="Times New Roman"/>
          <w:sz w:val="24"/>
          <w:szCs w:val="24"/>
        </w:rPr>
        <w:t>i</w:t>
      </w:r>
      <w:r w:rsidRPr="00213798">
        <w:rPr>
          <w:rFonts w:ascii="Times New Roman" w:hAnsi="Times New Roman" w:cs="Times New Roman"/>
          <w:sz w:val="24"/>
          <w:szCs w:val="24"/>
        </w:rPr>
        <w:t xml:space="preserve"> środkami dotacyjnymi.</w:t>
      </w:r>
    </w:p>
    <w:p w14:paraId="668487F1" w14:textId="77777777" w:rsidR="006E0C01" w:rsidRPr="00213798" w:rsidRDefault="006E0C01" w:rsidP="006E0C01">
      <w:pPr>
        <w:pStyle w:val="Akapitzlist"/>
        <w:spacing w:after="0"/>
        <w:rPr>
          <w:rFonts w:ascii="Times New Roman" w:hAnsi="Times New Roman" w:cs="Times New Roman"/>
          <w:sz w:val="24"/>
          <w:szCs w:val="24"/>
        </w:rPr>
      </w:pPr>
    </w:p>
    <w:p w14:paraId="05601E44" w14:textId="77777777" w:rsidR="006E0C01" w:rsidRPr="00213798" w:rsidRDefault="006E0C01" w:rsidP="006E0C01">
      <w:pPr>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Drugą grupę stanowią czynniki i bariery wynikające z uwarunkowań lokalnych, do których należy zaliczyć: </w:t>
      </w:r>
    </w:p>
    <w:p w14:paraId="5375D7E4" w14:textId="77777777" w:rsidR="006E0C01" w:rsidRPr="00213798" w:rsidRDefault="006E0C01">
      <w:pPr>
        <w:pStyle w:val="Akapitzlist"/>
        <w:numPr>
          <w:ilvl w:val="0"/>
          <w:numId w:val="90"/>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położenie w obszarze metropolitarnym Warszawy;</w:t>
      </w:r>
    </w:p>
    <w:p w14:paraId="6AE820B7" w14:textId="77777777" w:rsidR="006E0C01" w:rsidRPr="00213798" w:rsidRDefault="006E0C01">
      <w:pPr>
        <w:pStyle w:val="Akapitzlist"/>
        <w:numPr>
          <w:ilvl w:val="0"/>
          <w:numId w:val="90"/>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„wielkomiejską” mobilność ludności;</w:t>
      </w:r>
    </w:p>
    <w:p w14:paraId="663BF2FB" w14:textId="77777777" w:rsidR="006E0C01" w:rsidRPr="00213798" w:rsidRDefault="006E0C01">
      <w:pPr>
        <w:pStyle w:val="Akapitzlist"/>
        <w:numPr>
          <w:ilvl w:val="0"/>
          <w:numId w:val="90"/>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posiadanie cennych zasobów przyrodniczych i historycznych o znaczeniu nie tylko regionalnym, ale krajowym i międzynarodowym;</w:t>
      </w:r>
    </w:p>
    <w:p w14:paraId="24E5739B" w14:textId="77777777" w:rsidR="006E0C01" w:rsidRPr="00213798" w:rsidRDefault="006E0C01">
      <w:pPr>
        <w:pStyle w:val="Akapitzlist"/>
        <w:numPr>
          <w:ilvl w:val="0"/>
          <w:numId w:val="90"/>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poziom rozwoju infrastruktury, zwłaszcza technicznej (głównie drogowej); </w:t>
      </w:r>
    </w:p>
    <w:p w14:paraId="1190D4C8" w14:textId="77777777" w:rsidR="006E0C01" w:rsidRPr="00213798" w:rsidRDefault="006E0C01">
      <w:pPr>
        <w:pStyle w:val="Akapitzlist"/>
        <w:numPr>
          <w:ilvl w:val="0"/>
          <w:numId w:val="90"/>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specyfikę lokalnej bazy ekonomicznej. </w:t>
      </w:r>
    </w:p>
    <w:p w14:paraId="7C3FBD77" w14:textId="77777777" w:rsidR="006E0C01" w:rsidRPr="00213798" w:rsidRDefault="006E0C01" w:rsidP="006E0C01">
      <w:pPr>
        <w:rPr>
          <w:rFonts w:ascii="Times New Roman" w:hAnsi="Times New Roman" w:cs="Times New Roman"/>
          <w:color w:val="2F5496" w:themeColor="accent1" w:themeShade="BF"/>
          <w:sz w:val="24"/>
          <w:szCs w:val="24"/>
        </w:rPr>
      </w:pPr>
    </w:p>
    <w:p w14:paraId="34548301" w14:textId="79939643" w:rsidR="006E0C01" w:rsidRDefault="006E0C01" w:rsidP="006E0C01">
      <w:pPr>
        <w:jc w:val="both"/>
        <w:rPr>
          <w:rFonts w:ascii="Times New Roman" w:hAnsi="Times New Roman" w:cs="Times New Roman"/>
          <w:sz w:val="24"/>
          <w:szCs w:val="24"/>
        </w:rPr>
      </w:pPr>
      <w:r w:rsidRPr="00213798">
        <w:rPr>
          <w:rFonts w:ascii="Times New Roman" w:hAnsi="Times New Roman" w:cs="Times New Roman"/>
          <w:sz w:val="24"/>
          <w:szCs w:val="24"/>
        </w:rPr>
        <w:t>Chcąc uzyskać klarowną i opartą o obiektywne kryteria ocenę czynników i barier</w:t>
      </w:r>
      <w:r w:rsidR="007A180F">
        <w:rPr>
          <w:rFonts w:ascii="Times New Roman" w:hAnsi="Times New Roman" w:cs="Times New Roman"/>
          <w:sz w:val="24"/>
          <w:szCs w:val="24"/>
        </w:rPr>
        <w:t xml:space="preserve"> </w:t>
      </w:r>
      <w:r w:rsidRPr="00213798">
        <w:rPr>
          <w:rFonts w:ascii="Times New Roman" w:hAnsi="Times New Roman" w:cs="Times New Roman"/>
          <w:sz w:val="24"/>
          <w:szCs w:val="24"/>
        </w:rPr>
        <w:t xml:space="preserve"> wpływających na procesy rozwojowe</w:t>
      </w:r>
      <w:r w:rsidR="007A180F">
        <w:rPr>
          <w:rFonts w:ascii="Times New Roman" w:hAnsi="Times New Roman" w:cs="Times New Roman"/>
          <w:sz w:val="24"/>
          <w:szCs w:val="24"/>
        </w:rPr>
        <w:t xml:space="preserve"> (rozpisanych szczegółowo na podstawie prac diagnostycznych)</w:t>
      </w:r>
      <w:r w:rsidRPr="00213798">
        <w:rPr>
          <w:rFonts w:ascii="Times New Roman" w:hAnsi="Times New Roman" w:cs="Times New Roman"/>
          <w:sz w:val="24"/>
          <w:szCs w:val="24"/>
        </w:rPr>
        <w:t>, dokonaną przez interesariuszy wewnętrznych, przygotowano i przeprowadzono warsztat</w:t>
      </w:r>
      <w:r w:rsidR="00AD1C33">
        <w:rPr>
          <w:rFonts w:ascii="Times New Roman" w:hAnsi="Times New Roman" w:cs="Times New Roman"/>
          <w:sz w:val="24"/>
          <w:szCs w:val="24"/>
        </w:rPr>
        <w:t xml:space="preserve">, w czasie którego dokonana została </w:t>
      </w:r>
      <w:r w:rsidRPr="00213798">
        <w:rPr>
          <w:rFonts w:ascii="Times New Roman" w:hAnsi="Times New Roman" w:cs="Times New Roman"/>
          <w:sz w:val="24"/>
          <w:szCs w:val="24"/>
        </w:rPr>
        <w:t>ocen</w:t>
      </w:r>
      <w:r w:rsidR="00AD1C33">
        <w:rPr>
          <w:rFonts w:ascii="Times New Roman" w:hAnsi="Times New Roman" w:cs="Times New Roman"/>
          <w:sz w:val="24"/>
          <w:szCs w:val="24"/>
        </w:rPr>
        <w:t>a</w:t>
      </w:r>
      <w:r w:rsidRPr="00213798">
        <w:rPr>
          <w:rFonts w:ascii="Times New Roman" w:hAnsi="Times New Roman" w:cs="Times New Roman"/>
          <w:sz w:val="24"/>
          <w:szCs w:val="24"/>
        </w:rPr>
        <w:t xml:space="preserve"> zaproponowanych barier i wyzwań w kontekście ich istotności dla procesów rozwoju. Ocena wagi każdego z elementów była prowadzona z uwzględnieniem następującej skali: 1 - niewielki wpływ (lub jego brak) na procesy rozwojowe; 2 - średni wpływ na procesy rozwojowe;  3 - kluczowe znaczenia dla procesów rozwojowych (duży wpływ). </w:t>
      </w:r>
      <w:r w:rsidR="00AD1C33">
        <w:rPr>
          <w:rFonts w:ascii="Times New Roman" w:hAnsi="Times New Roman" w:cs="Times New Roman"/>
          <w:sz w:val="24"/>
          <w:szCs w:val="24"/>
        </w:rPr>
        <w:t xml:space="preserve">W rangowaniu  uczestniczyło </w:t>
      </w:r>
      <w:r w:rsidRPr="00213798">
        <w:rPr>
          <w:rFonts w:ascii="Times New Roman" w:hAnsi="Times New Roman" w:cs="Times New Roman"/>
          <w:sz w:val="24"/>
          <w:szCs w:val="24"/>
        </w:rPr>
        <w:t xml:space="preserve">23 </w:t>
      </w:r>
      <w:r w:rsidR="00AD1C33">
        <w:rPr>
          <w:rFonts w:ascii="Times New Roman" w:hAnsi="Times New Roman" w:cs="Times New Roman"/>
          <w:sz w:val="24"/>
          <w:szCs w:val="24"/>
        </w:rPr>
        <w:t>osoby, a z</w:t>
      </w:r>
      <w:r w:rsidRPr="00213798">
        <w:rPr>
          <w:rFonts w:ascii="Times New Roman" w:hAnsi="Times New Roman" w:cs="Times New Roman"/>
          <w:sz w:val="24"/>
          <w:szCs w:val="24"/>
        </w:rPr>
        <w:t>estawienie ocen (obejmujące średnią ze wszystkich 23 rangowań) przedstawiono poniżej</w:t>
      </w:r>
      <w:r w:rsidR="00AD1C33">
        <w:rPr>
          <w:rFonts w:ascii="Times New Roman" w:hAnsi="Times New Roman" w:cs="Times New Roman"/>
          <w:sz w:val="24"/>
          <w:szCs w:val="24"/>
        </w:rPr>
        <w:t xml:space="preserve"> w tabeli</w:t>
      </w:r>
      <w:r w:rsidRPr="00213798">
        <w:rPr>
          <w:rFonts w:ascii="Times New Roman" w:hAnsi="Times New Roman" w:cs="Times New Roman"/>
          <w:sz w:val="24"/>
          <w:szCs w:val="24"/>
        </w:rPr>
        <w:t xml:space="preserve">.  </w:t>
      </w:r>
    </w:p>
    <w:p w14:paraId="4D698961" w14:textId="5A5B3435" w:rsidR="00AD1C33" w:rsidRPr="00213798" w:rsidRDefault="00AD1C33" w:rsidP="006E0C01">
      <w:pPr>
        <w:jc w:val="both"/>
        <w:rPr>
          <w:rFonts w:ascii="Times New Roman" w:hAnsi="Times New Roman" w:cs="Times New Roman"/>
          <w:sz w:val="24"/>
          <w:szCs w:val="24"/>
        </w:rPr>
      </w:pPr>
      <w:bookmarkStart w:id="19" w:name="_Hlk119634949"/>
      <w:r w:rsidRPr="00034862">
        <w:rPr>
          <w:rFonts w:ascii="Times New Roman" w:hAnsi="Times New Roman" w:cs="Times New Roman"/>
          <w:sz w:val="24"/>
          <w:szCs w:val="24"/>
        </w:rPr>
        <w:t xml:space="preserve">Tabela </w:t>
      </w:r>
      <w:r w:rsidR="004E07DD" w:rsidRPr="00034862">
        <w:rPr>
          <w:rFonts w:ascii="Times New Roman" w:hAnsi="Times New Roman" w:cs="Times New Roman"/>
          <w:sz w:val="24"/>
          <w:szCs w:val="24"/>
        </w:rPr>
        <w:t>1</w:t>
      </w:r>
      <w:r w:rsidRPr="00034862">
        <w:rPr>
          <w:rFonts w:ascii="Times New Roman" w:hAnsi="Times New Roman" w:cs="Times New Roman"/>
          <w:sz w:val="24"/>
          <w:szCs w:val="24"/>
        </w:rPr>
        <w:t>.</w:t>
      </w:r>
      <w:r>
        <w:rPr>
          <w:rFonts w:ascii="Times New Roman" w:hAnsi="Times New Roman" w:cs="Times New Roman"/>
          <w:sz w:val="24"/>
          <w:szCs w:val="24"/>
        </w:rPr>
        <w:t xml:space="preserve"> Ocena wpływu barier na procesy rozwojowe </w:t>
      </w:r>
    </w:p>
    <w:tbl>
      <w:tblPr>
        <w:tblStyle w:val="Tabela-Siatka"/>
        <w:tblW w:w="0" w:type="auto"/>
        <w:tblLook w:val="04A0" w:firstRow="1" w:lastRow="0" w:firstColumn="1" w:lastColumn="0" w:noHBand="0" w:noVBand="1"/>
      </w:tblPr>
      <w:tblGrid>
        <w:gridCol w:w="7818"/>
        <w:gridCol w:w="1244"/>
      </w:tblGrid>
      <w:tr w:rsidR="006E0C01" w:rsidRPr="00213798" w14:paraId="11468824" w14:textId="77777777" w:rsidTr="00A36CBA">
        <w:trPr>
          <w:tblHeader/>
        </w:trPr>
        <w:tc>
          <w:tcPr>
            <w:tcW w:w="7818" w:type="dxa"/>
            <w:shd w:val="clear" w:color="auto" w:fill="D9E2F3" w:themeFill="accent1" w:themeFillTint="33"/>
          </w:tcPr>
          <w:bookmarkEnd w:id="19"/>
          <w:p w14:paraId="2932921C" w14:textId="77777777" w:rsidR="006E0C01" w:rsidRPr="00213798" w:rsidRDefault="006E0C01" w:rsidP="006E6407">
            <w:pPr>
              <w:spacing w:line="276" w:lineRule="auto"/>
              <w:rPr>
                <w:rFonts w:ascii="Times New Roman" w:hAnsi="Times New Roman" w:cs="Times New Roman"/>
                <w:b/>
                <w:bCs/>
                <w:sz w:val="24"/>
                <w:szCs w:val="24"/>
              </w:rPr>
            </w:pPr>
            <w:r w:rsidRPr="00213798">
              <w:rPr>
                <w:rFonts w:ascii="Times New Roman" w:hAnsi="Times New Roman" w:cs="Times New Roman"/>
                <w:b/>
                <w:bCs/>
                <w:sz w:val="24"/>
                <w:szCs w:val="24"/>
              </w:rPr>
              <w:t>Zidentyfikowane bariery/wyzwania</w:t>
            </w:r>
          </w:p>
        </w:tc>
        <w:tc>
          <w:tcPr>
            <w:tcW w:w="1244" w:type="dxa"/>
            <w:shd w:val="clear" w:color="auto" w:fill="D9E2F3" w:themeFill="accent1" w:themeFillTint="33"/>
          </w:tcPr>
          <w:p w14:paraId="141C005C" w14:textId="77777777" w:rsidR="006E0C01" w:rsidRPr="00213798" w:rsidRDefault="006E0C01" w:rsidP="006E6407">
            <w:pPr>
              <w:spacing w:line="276" w:lineRule="auto"/>
              <w:rPr>
                <w:rFonts w:ascii="Times New Roman" w:hAnsi="Times New Roman" w:cs="Times New Roman"/>
                <w:b/>
                <w:bCs/>
                <w:sz w:val="24"/>
                <w:szCs w:val="24"/>
              </w:rPr>
            </w:pPr>
            <w:r w:rsidRPr="00213798">
              <w:rPr>
                <w:rFonts w:ascii="Times New Roman" w:hAnsi="Times New Roman" w:cs="Times New Roman"/>
                <w:b/>
                <w:bCs/>
                <w:sz w:val="24"/>
                <w:szCs w:val="24"/>
              </w:rPr>
              <w:t>Ocena punktowa</w:t>
            </w:r>
          </w:p>
        </w:tc>
      </w:tr>
      <w:tr w:rsidR="006E0C01" w:rsidRPr="00213798" w14:paraId="3B3E770F" w14:textId="77777777" w:rsidTr="00A36CBA">
        <w:tc>
          <w:tcPr>
            <w:tcW w:w="9062" w:type="dxa"/>
            <w:gridSpan w:val="2"/>
            <w:shd w:val="clear" w:color="auto" w:fill="E2EFD9" w:themeFill="accent6" w:themeFillTint="33"/>
          </w:tcPr>
          <w:p w14:paraId="59E181D4" w14:textId="77777777" w:rsidR="006E0C01" w:rsidRPr="00213798" w:rsidRDefault="006E0C01" w:rsidP="006E6407">
            <w:pPr>
              <w:spacing w:line="276" w:lineRule="auto"/>
              <w:rPr>
                <w:rFonts w:ascii="Times New Roman" w:hAnsi="Times New Roman" w:cs="Times New Roman"/>
                <w:b/>
                <w:bCs/>
                <w:sz w:val="24"/>
                <w:szCs w:val="24"/>
              </w:rPr>
            </w:pPr>
            <w:r w:rsidRPr="00213798">
              <w:rPr>
                <w:rFonts w:ascii="Times New Roman" w:hAnsi="Times New Roman" w:cs="Times New Roman"/>
                <w:b/>
                <w:bCs/>
                <w:sz w:val="24"/>
                <w:szCs w:val="24"/>
              </w:rPr>
              <w:t>Położenie geograficzne, dostępność komunikacyjna i mobilność</w:t>
            </w:r>
          </w:p>
        </w:tc>
      </w:tr>
      <w:tr w:rsidR="006E0C01" w:rsidRPr="00213798" w14:paraId="5595B1E6" w14:textId="77777777" w:rsidTr="006E6407">
        <w:tc>
          <w:tcPr>
            <w:tcW w:w="7818" w:type="dxa"/>
          </w:tcPr>
          <w:p w14:paraId="666A5A81"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sz w:val="24"/>
                <w:szCs w:val="24"/>
              </w:rPr>
              <w:t>Zagrożenia wynikające z przyjmowania „wielkomiejskiego” stylu życia (patologie indywidualne i społeczne);</w:t>
            </w:r>
          </w:p>
        </w:tc>
        <w:tc>
          <w:tcPr>
            <w:tcW w:w="1244" w:type="dxa"/>
          </w:tcPr>
          <w:p w14:paraId="191F01D3"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1,8</w:t>
            </w:r>
          </w:p>
        </w:tc>
      </w:tr>
      <w:tr w:rsidR="006E0C01" w:rsidRPr="00213798" w14:paraId="512606E5" w14:textId="77777777" w:rsidTr="006E6407">
        <w:tc>
          <w:tcPr>
            <w:tcW w:w="7818" w:type="dxa"/>
          </w:tcPr>
          <w:p w14:paraId="6AD6B1DF"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sz w:val="24"/>
                <w:szCs w:val="24"/>
              </w:rPr>
              <w:lastRenderedPageBreak/>
              <w:t>Trudności w budowie lokalnego społeczeństwa obywatelskiego, lokalnej tożsamości w warunkach nasilonych kontaktów zawodowych oraz spędzania czasu wolnego w Stolicy;</w:t>
            </w:r>
          </w:p>
        </w:tc>
        <w:tc>
          <w:tcPr>
            <w:tcW w:w="1244" w:type="dxa"/>
          </w:tcPr>
          <w:p w14:paraId="4972B8BD"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3E795897" w14:textId="77777777" w:rsidTr="006E6407">
        <w:tc>
          <w:tcPr>
            <w:tcW w:w="7818" w:type="dxa"/>
          </w:tcPr>
          <w:p w14:paraId="3AE37009"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sz w:val="24"/>
                <w:szCs w:val="24"/>
              </w:rPr>
              <w:t>Trudności z integracją społeczności lokalnej w warunkach dużego udziału ludności czasowo zamieszkującej, w tym w sezonie „rekreacyjno-urlopowym” (m.in. drugie domy);</w:t>
            </w:r>
          </w:p>
        </w:tc>
        <w:tc>
          <w:tcPr>
            <w:tcW w:w="1244" w:type="dxa"/>
          </w:tcPr>
          <w:p w14:paraId="424DD1E0"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1,4</w:t>
            </w:r>
          </w:p>
        </w:tc>
      </w:tr>
      <w:tr w:rsidR="006E0C01" w:rsidRPr="00213798" w14:paraId="35497DB0" w14:textId="77777777" w:rsidTr="006E6407">
        <w:tc>
          <w:tcPr>
            <w:tcW w:w="7818" w:type="dxa"/>
          </w:tcPr>
          <w:p w14:paraId="50486701"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sz w:val="24"/>
                <w:szCs w:val="24"/>
              </w:rPr>
              <w:t>Trudności z rozwojem, szeroko rozumianych, lokalnych wyspecjalizowanych usług wobec konkurencyjnej oferty Stolicy;</w:t>
            </w:r>
          </w:p>
        </w:tc>
        <w:tc>
          <w:tcPr>
            <w:tcW w:w="1244" w:type="dxa"/>
          </w:tcPr>
          <w:p w14:paraId="04A47C84"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2,4</w:t>
            </w:r>
          </w:p>
        </w:tc>
      </w:tr>
      <w:tr w:rsidR="006E0C01" w:rsidRPr="00213798" w14:paraId="6D541663" w14:textId="77777777" w:rsidTr="006E6407">
        <w:tc>
          <w:tcPr>
            <w:tcW w:w="7818" w:type="dxa"/>
          </w:tcPr>
          <w:p w14:paraId="5F67A972"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color w:val="000000" w:themeColor="text1"/>
                <w:sz w:val="24"/>
                <w:szCs w:val="24"/>
              </w:rPr>
              <w:t>Niestabilny organizacyjnie system zewnętrznej i wewnętrznej obsługi komunikacyjnej Gminy, zwłaszcza powiązań zewnętrznych – konieczność cyklicznego, ale i doraźnego, zawierania odrębnych umów z przewoźnikami oraz współfinansującymi partnerami;</w:t>
            </w:r>
          </w:p>
        </w:tc>
        <w:tc>
          <w:tcPr>
            <w:tcW w:w="1244" w:type="dxa"/>
          </w:tcPr>
          <w:p w14:paraId="26DC5275"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1,6</w:t>
            </w:r>
          </w:p>
        </w:tc>
      </w:tr>
      <w:tr w:rsidR="006E0C01" w:rsidRPr="00213798" w14:paraId="21A9EDC8" w14:textId="77777777" w:rsidTr="006E6407">
        <w:tc>
          <w:tcPr>
            <w:tcW w:w="7818" w:type="dxa"/>
          </w:tcPr>
          <w:p w14:paraId="4DEBC388"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color w:val="000000" w:themeColor="text1"/>
                <w:sz w:val="24"/>
                <w:szCs w:val="24"/>
              </w:rPr>
              <w:t>Trudności w utrzymaniu i rozwoju miejscowych i lokalnych powiązań komunikacyjnych i transportowych wewnątrz Gminy powodowane podziałem obszaru przez duże węzły drogowe i drogi krajowe i wojewódzkie;</w:t>
            </w:r>
          </w:p>
        </w:tc>
        <w:tc>
          <w:tcPr>
            <w:tcW w:w="1244" w:type="dxa"/>
          </w:tcPr>
          <w:p w14:paraId="68B92413"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0EABC6F5" w14:textId="77777777" w:rsidTr="006E6407">
        <w:tc>
          <w:tcPr>
            <w:tcW w:w="7818" w:type="dxa"/>
          </w:tcPr>
          <w:p w14:paraId="0F13D552"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eastAsia="ArialMT" w:hAnsi="Times New Roman" w:cs="Times New Roman"/>
                <w:color w:val="000000" w:themeColor="text1"/>
                <w:sz w:val="24"/>
                <w:szCs w:val="24"/>
              </w:rPr>
              <w:t xml:space="preserve">Duży udział dróg lokalnych wymagających remontów i modernizacji; </w:t>
            </w:r>
          </w:p>
        </w:tc>
        <w:tc>
          <w:tcPr>
            <w:tcW w:w="1244" w:type="dxa"/>
          </w:tcPr>
          <w:p w14:paraId="06EB5F18"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2,5</w:t>
            </w:r>
          </w:p>
        </w:tc>
      </w:tr>
      <w:tr w:rsidR="006E0C01" w:rsidRPr="00213798" w14:paraId="0CD2E15A" w14:textId="77777777" w:rsidTr="006E6407">
        <w:tc>
          <w:tcPr>
            <w:tcW w:w="7818" w:type="dxa"/>
          </w:tcPr>
          <w:p w14:paraId="6EFC510F" w14:textId="77777777" w:rsidR="006E0C01" w:rsidRPr="00213798" w:rsidRDefault="006E0C01" w:rsidP="006E6407">
            <w:pPr>
              <w:spacing w:line="276" w:lineRule="auto"/>
              <w:rPr>
                <w:rFonts w:ascii="Times New Roman" w:hAnsi="Times New Roman" w:cs="Times New Roman"/>
                <w:sz w:val="24"/>
                <w:szCs w:val="24"/>
              </w:rPr>
            </w:pPr>
            <w:r w:rsidRPr="00213798">
              <w:rPr>
                <w:rFonts w:ascii="Times New Roman" w:hAnsi="Times New Roman" w:cs="Times New Roman"/>
                <w:sz w:val="24"/>
                <w:szCs w:val="24"/>
              </w:rPr>
              <w:t xml:space="preserve">Zmienność potencjałów, zwłaszcza na rynku pracy w wyniku wysokiej mobilności ludności na obszarze Gminy wynikającej z położenia i powiązań funkcjonalnych </w:t>
            </w:r>
          </w:p>
        </w:tc>
        <w:tc>
          <w:tcPr>
            <w:tcW w:w="1244" w:type="dxa"/>
          </w:tcPr>
          <w:p w14:paraId="60BEA528"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2,3</w:t>
            </w:r>
          </w:p>
        </w:tc>
      </w:tr>
      <w:tr w:rsidR="006E0C01" w:rsidRPr="00213798" w14:paraId="504EA357" w14:textId="77777777" w:rsidTr="006E6407">
        <w:tc>
          <w:tcPr>
            <w:tcW w:w="7818" w:type="dxa"/>
          </w:tcPr>
          <w:p w14:paraId="111BE9CD" w14:textId="77777777" w:rsidR="006E0C01" w:rsidRPr="00213798" w:rsidRDefault="006E0C01" w:rsidP="006E6407">
            <w:pPr>
              <w:spacing w:line="276" w:lineRule="auto"/>
              <w:rPr>
                <w:rFonts w:ascii="Times New Roman" w:hAnsi="Times New Roman" w:cs="Times New Roman"/>
                <w:sz w:val="24"/>
                <w:szCs w:val="24"/>
              </w:rPr>
            </w:pPr>
            <w:r w:rsidRPr="00213798">
              <w:rPr>
                <w:rFonts w:ascii="Times New Roman" w:hAnsi="Times New Roman" w:cs="Times New Roman"/>
                <w:sz w:val="24"/>
                <w:szCs w:val="24"/>
              </w:rPr>
              <w:t>Konieczność dalszej rozbudowy i modernizacji w zakresie dostępności Internetu wynikająca z niedostatecznej dostępności połączeń odpowiadających rosnącym standardom i  wymaganiom</w:t>
            </w:r>
          </w:p>
        </w:tc>
        <w:tc>
          <w:tcPr>
            <w:tcW w:w="1244" w:type="dxa"/>
          </w:tcPr>
          <w:p w14:paraId="76E52879"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2,6</w:t>
            </w:r>
          </w:p>
        </w:tc>
      </w:tr>
      <w:tr w:rsidR="006E0C01" w:rsidRPr="00213798" w14:paraId="05C7C805" w14:textId="77777777" w:rsidTr="00A36CBA">
        <w:tc>
          <w:tcPr>
            <w:tcW w:w="9062" w:type="dxa"/>
            <w:gridSpan w:val="2"/>
            <w:shd w:val="clear" w:color="auto" w:fill="E2EFD9" w:themeFill="accent6" w:themeFillTint="33"/>
          </w:tcPr>
          <w:p w14:paraId="73DD2455"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Ludność i procesy demograficzne</w:t>
            </w:r>
          </w:p>
        </w:tc>
      </w:tr>
      <w:tr w:rsidR="006E0C01" w:rsidRPr="00213798" w14:paraId="2C36A442" w14:textId="77777777" w:rsidTr="006E6407">
        <w:tc>
          <w:tcPr>
            <w:tcW w:w="7818" w:type="dxa"/>
          </w:tcPr>
          <w:p w14:paraId="5C511419"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Zagrożenie stagnacją, a następnie procesami depopulacji, zwłaszcza miasta Góra Kalwaria (według prognoz demograficznych); </w:t>
            </w:r>
          </w:p>
        </w:tc>
        <w:tc>
          <w:tcPr>
            <w:tcW w:w="1244" w:type="dxa"/>
          </w:tcPr>
          <w:p w14:paraId="2D7CEA56"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2,3</w:t>
            </w:r>
          </w:p>
        </w:tc>
      </w:tr>
      <w:tr w:rsidR="006E0C01" w:rsidRPr="00213798" w14:paraId="561E366B" w14:textId="77777777" w:rsidTr="006E6407">
        <w:tc>
          <w:tcPr>
            <w:tcW w:w="7818" w:type="dxa"/>
          </w:tcPr>
          <w:p w14:paraId="47484899"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Rozbieżność między statystyczną a rzeczywistą liczbą mieszkańców Gminy i możliwe negatywne konsekwencje tego zjawiska dla budżetu;</w:t>
            </w:r>
          </w:p>
        </w:tc>
        <w:tc>
          <w:tcPr>
            <w:tcW w:w="1244" w:type="dxa"/>
          </w:tcPr>
          <w:p w14:paraId="3B160081"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5B510A00" w14:textId="77777777" w:rsidTr="006E6407">
        <w:tc>
          <w:tcPr>
            <w:tcW w:w="7818" w:type="dxa"/>
          </w:tcPr>
          <w:p w14:paraId="601A93BE"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Zagrożenie procesem starzenia się ludności i wynikającymi z tego  konsekwencjami – niedobór zasobów pracy na rynku lokalnym, rosnące wydatki na usługi ochrony zdrowia, pomocy społecznej itp.;</w:t>
            </w:r>
          </w:p>
        </w:tc>
        <w:tc>
          <w:tcPr>
            <w:tcW w:w="1244" w:type="dxa"/>
          </w:tcPr>
          <w:p w14:paraId="76A2B6F0"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2,7</w:t>
            </w:r>
          </w:p>
        </w:tc>
      </w:tr>
      <w:tr w:rsidR="006E0C01" w:rsidRPr="00213798" w14:paraId="41DB91A0" w14:textId="77777777" w:rsidTr="006E6407">
        <w:tc>
          <w:tcPr>
            <w:tcW w:w="7818" w:type="dxa"/>
          </w:tcPr>
          <w:p w14:paraId="4EF982BB"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Duże  potrzeby w zakresie szeroko rozumianego uzbrojenia terenów pod budownictwo mieszkaniowe i usługi i wynikające z tego zagrożenie antropopresja na obszarach cennych przyrodniczo;</w:t>
            </w:r>
          </w:p>
        </w:tc>
        <w:tc>
          <w:tcPr>
            <w:tcW w:w="1244" w:type="dxa"/>
          </w:tcPr>
          <w:p w14:paraId="55192CE1"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2,5</w:t>
            </w:r>
          </w:p>
        </w:tc>
      </w:tr>
      <w:tr w:rsidR="006E0C01" w:rsidRPr="00213798" w14:paraId="79278A70" w14:textId="77777777" w:rsidTr="006E6407">
        <w:tc>
          <w:tcPr>
            <w:tcW w:w="7818" w:type="dxa"/>
          </w:tcPr>
          <w:p w14:paraId="1F6E7175"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Niekorzystne tendencje do „rozlewania się” osadnictwa tak na obszarze miasta, jak i miejscowości wiejskich, tworzące zagrożenia dla środowiska, oraz generujące koszty uzbrojenia terenów, a następnie utrzymania infrastruktury.</w:t>
            </w:r>
          </w:p>
        </w:tc>
        <w:tc>
          <w:tcPr>
            <w:tcW w:w="1244" w:type="dxa"/>
          </w:tcPr>
          <w:p w14:paraId="6B03502C"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2,2</w:t>
            </w:r>
          </w:p>
        </w:tc>
      </w:tr>
      <w:tr w:rsidR="006E0C01" w:rsidRPr="00213798" w14:paraId="25C693C9" w14:textId="77777777" w:rsidTr="00A36CBA">
        <w:tc>
          <w:tcPr>
            <w:tcW w:w="9062" w:type="dxa"/>
            <w:gridSpan w:val="2"/>
            <w:shd w:val="clear" w:color="auto" w:fill="E2EFD9" w:themeFill="accent6" w:themeFillTint="33"/>
          </w:tcPr>
          <w:p w14:paraId="7CF6DE99"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Gospodarka i rynek pracy</w:t>
            </w:r>
          </w:p>
        </w:tc>
      </w:tr>
      <w:tr w:rsidR="006E0C01" w:rsidRPr="00213798" w14:paraId="5F74906A" w14:textId="77777777" w:rsidTr="006E6407">
        <w:tc>
          <w:tcPr>
            <w:tcW w:w="7818" w:type="dxa"/>
          </w:tcPr>
          <w:p w14:paraId="4E2057C4"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Ograniczone zasoby kapitału lokalnego – dominacja mikro małych oraz małych podmiotów gospodarczych, niska efektywność podatkowa i </w:t>
            </w:r>
            <w:r w:rsidRPr="00213798">
              <w:rPr>
                <w:rFonts w:ascii="Times New Roman" w:hAnsi="Times New Roman" w:cs="Times New Roman"/>
                <w:sz w:val="24"/>
                <w:szCs w:val="24"/>
              </w:rPr>
              <w:lastRenderedPageBreak/>
              <w:t>ograniczona liczba miejsc pracy, oraz wrażliwość na zmienność koniunktury gospodarczej – zwłaszcza w rolnictwie (skutki dla budżetu i rynku pracy);</w:t>
            </w:r>
          </w:p>
        </w:tc>
        <w:tc>
          <w:tcPr>
            <w:tcW w:w="1244" w:type="dxa"/>
          </w:tcPr>
          <w:p w14:paraId="49D3DA90"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lastRenderedPageBreak/>
              <w:t>2,4</w:t>
            </w:r>
          </w:p>
        </w:tc>
      </w:tr>
      <w:tr w:rsidR="006E0C01" w:rsidRPr="00213798" w14:paraId="701E09C7" w14:textId="77777777" w:rsidTr="006E6407">
        <w:tc>
          <w:tcPr>
            <w:tcW w:w="7818" w:type="dxa"/>
          </w:tcPr>
          <w:p w14:paraId="15D52500"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Zagrożenie zmniejszeniem poziomu lokalnej przedsiębiorczości wynikające z konkurencji silnych ośrodków usługowo-przemysłowych: najludniejsza gmina miejsko-wiejska w Polsce – Piaseczno, a zwłaszcza Warszawa;</w:t>
            </w:r>
          </w:p>
        </w:tc>
        <w:tc>
          <w:tcPr>
            <w:tcW w:w="1244" w:type="dxa"/>
          </w:tcPr>
          <w:p w14:paraId="2CF93975"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2,7</w:t>
            </w:r>
          </w:p>
        </w:tc>
      </w:tr>
      <w:tr w:rsidR="006E0C01" w:rsidRPr="00213798" w14:paraId="11969B7E" w14:textId="77777777" w:rsidTr="006E6407">
        <w:tc>
          <w:tcPr>
            <w:tcW w:w="7818" w:type="dxa"/>
          </w:tcPr>
          <w:p w14:paraId="4B6A140C"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Bariera swobodnego inwestowania wynikająca z występowania dużych obszarów o ograniczonych możliwościach zabudowy i zagospodarowania (64%); </w:t>
            </w:r>
          </w:p>
        </w:tc>
        <w:tc>
          <w:tcPr>
            <w:tcW w:w="1244" w:type="dxa"/>
          </w:tcPr>
          <w:p w14:paraId="3F8FFAD5"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5367CB40" w14:textId="77777777" w:rsidTr="006E6407">
        <w:tc>
          <w:tcPr>
            <w:tcW w:w="7818" w:type="dxa"/>
          </w:tcPr>
          <w:p w14:paraId="59D7E9A5"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Zagrożenie marginalizacją w znalezieniu zatrudnienia dla grupy wiekowej ludności 50+.</w:t>
            </w:r>
          </w:p>
        </w:tc>
        <w:tc>
          <w:tcPr>
            <w:tcW w:w="1244" w:type="dxa"/>
          </w:tcPr>
          <w:p w14:paraId="4B2B339C"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2,6</w:t>
            </w:r>
          </w:p>
        </w:tc>
      </w:tr>
      <w:tr w:rsidR="006E0C01" w:rsidRPr="00213798" w14:paraId="5BA7F984" w14:textId="77777777" w:rsidTr="00A36CBA">
        <w:tc>
          <w:tcPr>
            <w:tcW w:w="9062" w:type="dxa"/>
            <w:gridSpan w:val="2"/>
            <w:shd w:val="clear" w:color="auto" w:fill="E2EFD9" w:themeFill="accent6" w:themeFillTint="33"/>
          </w:tcPr>
          <w:p w14:paraId="4FED3F73"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Środowisko naturalne i infrastruktura</w:t>
            </w:r>
          </w:p>
        </w:tc>
      </w:tr>
      <w:tr w:rsidR="006E0C01" w:rsidRPr="00213798" w14:paraId="547E491E" w14:textId="77777777" w:rsidTr="006E6407">
        <w:tc>
          <w:tcPr>
            <w:tcW w:w="7818" w:type="dxa"/>
          </w:tcPr>
          <w:p w14:paraId="561C1584"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Relatywnie wysokie bezpośrednie i pośrednie koszty ochrony terenów cennych przyrodniczo;</w:t>
            </w:r>
          </w:p>
        </w:tc>
        <w:tc>
          <w:tcPr>
            <w:tcW w:w="1244" w:type="dxa"/>
          </w:tcPr>
          <w:p w14:paraId="0E725D9F"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7049B187" w14:textId="77777777" w:rsidTr="006E6407">
        <w:tc>
          <w:tcPr>
            <w:tcW w:w="7818" w:type="dxa"/>
          </w:tcPr>
          <w:p w14:paraId="0BC7F21F"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Duże różnice w stopniu upowszechnienia sieci wodociągowej i kanalizacyjnej;</w:t>
            </w:r>
          </w:p>
        </w:tc>
        <w:tc>
          <w:tcPr>
            <w:tcW w:w="1244" w:type="dxa"/>
          </w:tcPr>
          <w:p w14:paraId="10A04A29"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2,2</w:t>
            </w:r>
          </w:p>
        </w:tc>
      </w:tr>
      <w:tr w:rsidR="006E0C01" w:rsidRPr="00213798" w14:paraId="2C581F88" w14:textId="77777777" w:rsidTr="006E6407">
        <w:tc>
          <w:tcPr>
            <w:tcW w:w="7818" w:type="dxa"/>
          </w:tcPr>
          <w:p w14:paraId="562C6F71"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Zagrożenie niedostateczną przepustowością istniejących oczyszczalni ścieków, wynikającą z potencjalnych możliwości rozwojowych Gminy i uszczelnienia istniejącego systemu „unieszkodliwiania” ścieków komunalnych i przemysłowych;</w:t>
            </w:r>
          </w:p>
        </w:tc>
        <w:tc>
          <w:tcPr>
            <w:tcW w:w="1244" w:type="dxa"/>
          </w:tcPr>
          <w:p w14:paraId="01BC355F"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1,8</w:t>
            </w:r>
          </w:p>
        </w:tc>
      </w:tr>
      <w:tr w:rsidR="006E0C01" w:rsidRPr="00213798" w14:paraId="59B05198" w14:textId="77777777" w:rsidTr="006E6407">
        <w:tc>
          <w:tcPr>
            <w:tcW w:w="7818" w:type="dxa"/>
          </w:tcPr>
          <w:p w14:paraId="4BBE69B8"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Wyzwania związane z upowszechnianiem Odnawialnych Źródeł Energii (OZE), w tym likwidacja zagrożeń związanych intensywnością zanieczyszczeń „niskiej emisji” z lokalnych systemów grzewczych;</w:t>
            </w:r>
          </w:p>
        </w:tc>
        <w:tc>
          <w:tcPr>
            <w:tcW w:w="1244" w:type="dxa"/>
          </w:tcPr>
          <w:p w14:paraId="62EA82FF"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2,7</w:t>
            </w:r>
          </w:p>
        </w:tc>
      </w:tr>
      <w:tr w:rsidR="006E0C01" w:rsidRPr="00213798" w14:paraId="24ADC33F" w14:textId="77777777" w:rsidTr="006E6407">
        <w:tc>
          <w:tcPr>
            <w:tcW w:w="7818" w:type="dxa"/>
          </w:tcPr>
          <w:p w14:paraId="5C370FB4"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Niestabilne warunki funkcjonowania systemu gospodarki odpadami, w szczególności w zakresie selektywnej zbiórki i recyklingu oraz rosnące koszty jego funkcjonowania;</w:t>
            </w:r>
          </w:p>
        </w:tc>
        <w:tc>
          <w:tcPr>
            <w:tcW w:w="1244" w:type="dxa"/>
          </w:tcPr>
          <w:p w14:paraId="47626447"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2,6</w:t>
            </w:r>
          </w:p>
        </w:tc>
      </w:tr>
      <w:tr w:rsidR="006E0C01" w:rsidRPr="00213798" w14:paraId="40A2BCD5" w14:textId="77777777" w:rsidTr="006E6407">
        <w:tc>
          <w:tcPr>
            <w:tcW w:w="7818" w:type="dxa"/>
          </w:tcPr>
          <w:p w14:paraId="39281E5B"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Konieczność zmniejszenia poziomu zasklepienia gruntów – relatywnie nowe źródło kosztów dla gospodarki lokalnej, w tym budżetu Gminy.</w:t>
            </w:r>
          </w:p>
        </w:tc>
        <w:tc>
          <w:tcPr>
            <w:tcW w:w="1244" w:type="dxa"/>
          </w:tcPr>
          <w:p w14:paraId="53215410"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1,7</w:t>
            </w:r>
          </w:p>
        </w:tc>
      </w:tr>
      <w:tr w:rsidR="006E0C01" w:rsidRPr="00213798" w14:paraId="49A3D1F2" w14:textId="77777777" w:rsidTr="00A36CBA">
        <w:tc>
          <w:tcPr>
            <w:tcW w:w="9062" w:type="dxa"/>
            <w:gridSpan w:val="2"/>
            <w:shd w:val="clear" w:color="auto" w:fill="E2EFD9" w:themeFill="accent6" w:themeFillTint="33"/>
          </w:tcPr>
          <w:p w14:paraId="3E331B1C" w14:textId="77777777" w:rsidR="006E0C01" w:rsidRPr="00213798" w:rsidRDefault="006E0C01" w:rsidP="006E6407">
            <w:pPr>
              <w:spacing w:line="276" w:lineRule="auto"/>
              <w:jc w:val="center"/>
              <w:rPr>
                <w:rFonts w:ascii="Times New Roman" w:hAnsi="Times New Roman" w:cs="Times New Roman"/>
                <w:b/>
                <w:bCs/>
                <w:sz w:val="24"/>
                <w:szCs w:val="24"/>
              </w:rPr>
            </w:pPr>
            <w:bookmarkStart w:id="20" w:name="_Hlk83277601"/>
            <w:r w:rsidRPr="00213798">
              <w:rPr>
                <w:rFonts w:ascii="Times New Roman" w:hAnsi="Times New Roman" w:cs="Times New Roman"/>
                <w:b/>
                <w:bCs/>
                <w:sz w:val="24"/>
                <w:szCs w:val="24"/>
              </w:rPr>
              <w:t>Kultura i dziedzictwo kulturowe, sport, rekreacja i turystyka</w:t>
            </w:r>
            <w:bookmarkEnd w:id="20"/>
          </w:p>
        </w:tc>
      </w:tr>
      <w:tr w:rsidR="006E0C01" w:rsidRPr="00213798" w14:paraId="61E1F21F" w14:textId="77777777" w:rsidTr="006E6407">
        <w:tc>
          <w:tcPr>
            <w:tcW w:w="7818" w:type="dxa"/>
          </w:tcPr>
          <w:p w14:paraId="2CBA0369"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Bariera dostępności niektórych usług, w tym dla osób mobilnie niesamodzielnych wynikająca z umiejscowienia instytucji i obiektów kultury, sportu i rekreacji na terenie miasta i wynikające z tego problemy integracji społeczności lokalnych;</w:t>
            </w:r>
          </w:p>
        </w:tc>
        <w:tc>
          <w:tcPr>
            <w:tcW w:w="1244" w:type="dxa"/>
          </w:tcPr>
          <w:p w14:paraId="7721AC75"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6CCC72BD" w14:textId="77777777" w:rsidTr="006E6407">
        <w:tc>
          <w:tcPr>
            <w:tcW w:w="7818" w:type="dxa"/>
          </w:tcPr>
          <w:p w14:paraId="34128593"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Relatywnie duża koncentracja w mieście instytucji i obiektów sportu i rekreacji, przy ograniczonej ofercie dla obszarów wiejskich; </w:t>
            </w:r>
          </w:p>
        </w:tc>
        <w:tc>
          <w:tcPr>
            <w:tcW w:w="1244" w:type="dxa"/>
          </w:tcPr>
          <w:p w14:paraId="459B2AF9"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190DAA9A" w14:textId="77777777" w:rsidTr="006E6407">
        <w:tc>
          <w:tcPr>
            <w:tcW w:w="7818" w:type="dxa"/>
          </w:tcPr>
          <w:p w14:paraId="7A5AA628"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Niedostateczna oferta tematyczna  uwzględniająca współczesnych formy aktywności w sferze kultury, sportu i rekreacji;</w:t>
            </w:r>
          </w:p>
        </w:tc>
        <w:tc>
          <w:tcPr>
            <w:tcW w:w="1244" w:type="dxa"/>
          </w:tcPr>
          <w:p w14:paraId="02A54326"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16FAB174" w14:textId="77777777" w:rsidTr="006E6407">
        <w:tc>
          <w:tcPr>
            <w:tcW w:w="7818" w:type="dxa"/>
          </w:tcPr>
          <w:p w14:paraId="3C56865A"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Ograniczona oferta tematyczna uwzględniająca współcześnie popularne dyscypliny sportowe;</w:t>
            </w:r>
          </w:p>
        </w:tc>
        <w:tc>
          <w:tcPr>
            <w:tcW w:w="1244" w:type="dxa"/>
          </w:tcPr>
          <w:p w14:paraId="5E6D0236"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1,4</w:t>
            </w:r>
          </w:p>
        </w:tc>
      </w:tr>
      <w:tr w:rsidR="006E0C01" w:rsidRPr="00213798" w14:paraId="744E0D1B" w14:textId="77777777" w:rsidTr="006E6407">
        <w:tc>
          <w:tcPr>
            <w:tcW w:w="7818" w:type="dxa"/>
          </w:tcPr>
          <w:p w14:paraId="2A766ED5"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Niedostateczna promocja produktów terytorialnych związanych z dziedzictwem historycznym gminy jako elementu unikatowego wizerunku gminy;</w:t>
            </w:r>
          </w:p>
        </w:tc>
        <w:tc>
          <w:tcPr>
            <w:tcW w:w="1244" w:type="dxa"/>
          </w:tcPr>
          <w:p w14:paraId="1C86A3FE"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1,5</w:t>
            </w:r>
          </w:p>
        </w:tc>
      </w:tr>
      <w:tr w:rsidR="006E0C01" w:rsidRPr="00213798" w14:paraId="5BE4C2F9" w14:textId="77777777" w:rsidTr="006E6407">
        <w:tc>
          <w:tcPr>
            <w:tcW w:w="7818" w:type="dxa"/>
          </w:tcPr>
          <w:p w14:paraId="7159A9BC"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lastRenderedPageBreak/>
              <w:t xml:space="preserve">Niedostatecznie rozwinięta lokalna baza turystyczna dostosowana tylko do aktualnych potrzeb. </w:t>
            </w:r>
          </w:p>
        </w:tc>
        <w:tc>
          <w:tcPr>
            <w:tcW w:w="1244" w:type="dxa"/>
          </w:tcPr>
          <w:p w14:paraId="17D184EA"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2,5</w:t>
            </w:r>
          </w:p>
        </w:tc>
      </w:tr>
      <w:tr w:rsidR="006E0C01" w:rsidRPr="00213798" w14:paraId="37A2DAED" w14:textId="77777777" w:rsidTr="00A36CBA">
        <w:tc>
          <w:tcPr>
            <w:tcW w:w="9062" w:type="dxa"/>
            <w:gridSpan w:val="2"/>
            <w:shd w:val="clear" w:color="auto" w:fill="E2EFD9" w:themeFill="accent6" w:themeFillTint="33"/>
          </w:tcPr>
          <w:p w14:paraId="7218AC9C"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Planowanie i zagospodarowanie przestrzenne</w:t>
            </w:r>
          </w:p>
        </w:tc>
      </w:tr>
      <w:tr w:rsidR="006E0C01" w:rsidRPr="00213798" w14:paraId="4E10D098" w14:textId="77777777" w:rsidTr="006E6407">
        <w:tc>
          <w:tcPr>
            <w:tcW w:w="7818" w:type="dxa"/>
          </w:tcPr>
          <w:p w14:paraId="7DB5927B"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Niewystarczający stopień pokrycia obszaru gminy miejscowymi planami zagospodarowania przestrzennego (2020 r. 27% powierzchni całkowitej Gminy);</w:t>
            </w:r>
          </w:p>
        </w:tc>
        <w:tc>
          <w:tcPr>
            <w:tcW w:w="1244" w:type="dxa"/>
          </w:tcPr>
          <w:p w14:paraId="39C17777"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76DB5915" w14:textId="77777777" w:rsidTr="006E6407">
        <w:tc>
          <w:tcPr>
            <w:tcW w:w="7818" w:type="dxa"/>
          </w:tcPr>
          <w:p w14:paraId="761F322E" w14:textId="77777777" w:rsidR="006E0C01" w:rsidRPr="00213798" w:rsidRDefault="006E0C01" w:rsidP="006E6407">
            <w:pPr>
              <w:spacing w:line="276" w:lineRule="auto"/>
              <w:rPr>
                <w:rFonts w:ascii="Times New Roman" w:hAnsi="Times New Roman" w:cs="Times New Roman"/>
                <w:sz w:val="24"/>
                <w:szCs w:val="24"/>
                <w:u w:val="single"/>
              </w:rPr>
            </w:pPr>
            <w:bookmarkStart w:id="21" w:name="_Hlk83277188"/>
            <w:r w:rsidRPr="00213798">
              <w:rPr>
                <w:rFonts w:ascii="Times New Roman" w:hAnsi="Times New Roman" w:cs="Times New Roman"/>
                <w:sz w:val="24"/>
                <w:szCs w:val="24"/>
              </w:rPr>
              <w:t>Rozproszenie sieci osadniczej oraz występowanie miejscowości liczących do 250 mieszkańców i mniejszych jako czynnik podwyższający koszty budowy i utrzymania infrastruktury technicznej (zwłaszcza sieciowej) i społecznej;</w:t>
            </w:r>
            <w:bookmarkEnd w:id="21"/>
          </w:p>
        </w:tc>
        <w:tc>
          <w:tcPr>
            <w:tcW w:w="1244" w:type="dxa"/>
          </w:tcPr>
          <w:p w14:paraId="25D4FC2F"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2,6</w:t>
            </w:r>
          </w:p>
        </w:tc>
      </w:tr>
      <w:tr w:rsidR="006E0C01" w:rsidRPr="00213798" w14:paraId="08BF9FB2" w14:textId="77777777" w:rsidTr="006E6407">
        <w:tc>
          <w:tcPr>
            <w:tcW w:w="7818" w:type="dxa"/>
          </w:tcPr>
          <w:p w14:paraId="57F57BCE"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Względnie duża ilość szeroko rozumianych obszarów zdegradowanych  wymagających podjęcia działań rewitalizacyjnych, w tym obejmujących: obszar byłego Zakładu Utylizacji Odpadów Łubna, Dolinę Wisły, centrum miasta Góra Kalwaria, skarpę wiślaną z przedpolami zamku w Czersku;</w:t>
            </w:r>
          </w:p>
        </w:tc>
        <w:tc>
          <w:tcPr>
            <w:tcW w:w="1244" w:type="dxa"/>
          </w:tcPr>
          <w:p w14:paraId="7F9B6D5E"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2D5751C3" w14:textId="77777777" w:rsidTr="006E6407">
        <w:tc>
          <w:tcPr>
            <w:tcW w:w="7818" w:type="dxa"/>
          </w:tcPr>
          <w:p w14:paraId="3A5E1C8C"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Chaotyczna zabudowa letniskowa na terenie Gminy.</w:t>
            </w:r>
          </w:p>
        </w:tc>
        <w:tc>
          <w:tcPr>
            <w:tcW w:w="1244" w:type="dxa"/>
          </w:tcPr>
          <w:p w14:paraId="4779F921"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3688729E" w14:textId="77777777" w:rsidTr="00A36CBA">
        <w:tc>
          <w:tcPr>
            <w:tcW w:w="9062" w:type="dxa"/>
            <w:gridSpan w:val="2"/>
            <w:shd w:val="clear" w:color="auto" w:fill="E2EFD9" w:themeFill="accent6" w:themeFillTint="33"/>
          </w:tcPr>
          <w:p w14:paraId="09E87977"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Polityka społeczna</w:t>
            </w:r>
          </w:p>
        </w:tc>
      </w:tr>
      <w:tr w:rsidR="006E0C01" w:rsidRPr="00213798" w14:paraId="391DBA20" w14:textId="77777777" w:rsidTr="006E6407">
        <w:tc>
          <w:tcPr>
            <w:tcW w:w="7818" w:type="dxa"/>
          </w:tcPr>
          <w:p w14:paraId="2BA1ED91"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Niestabilność systemu pomocy społecznej i wysokie koszty jego funkcjonowania wynikające ze zmienności uregulowań prawnych;</w:t>
            </w:r>
          </w:p>
        </w:tc>
        <w:tc>
          <w:tcPr>
            <w:tcW w:w="1244" w:type="dxa"/>
          </w:tcPr>
          <w:p w14:paraId="7E23A92A"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2,3</w:t>
            </w:r>
          </w:p>
        </w:tc>
      </w:tr>
      <w:tr w:rsidR="006E0C01" w:rsidRPr="00213798" w14:paraId="48544810" w14:textId="77777777" w:rsidTr="006E6407">
        <w:tc>
          <w:tcPr>
            <w:tcW w:w="7818" w:type="dxa"/>
          </w:tcPr>
          <w:p w14:paraId="447A3FDB"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Niewystarczające w stosunku do potrzeb komunalne zasoby mieszkaniowe i ich stan techniczny  generujący wysokie koszty utrzymania.</w:t>
            </w:r>
          </w:p>
        </w:tc>
        <w:tc>
          <w:tcPr>
            <w:tcW w:w="1244" w:type="dxa"/>
          </w:tcPr>
          <w:p w14:paraId="20F0936C"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2,5</w:t>
            </w:r>
          </w:p>
        </w:tc>
      </w:tr>
      <w:tr w:rsidR="006E0C01" w:rsidRPr="00213798" w14:paraId="6D2AB12D" w14:textId="77777777" w:rsidTr="00A36CBA">
        <w:tc>
          <w:tcPr>
            <w:tcW w:w="9062" w:type="dxa"/>
            <w:gridSpan w:val="2"/>
            <w:shd w:val="clear" w:color="auto" w:fill="E2EFD9" w:themeFill="accent6" w:themeFillTint="33"/>
          </w:tcPr>
          <w:p w14:paraId="645D5FA2"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Edukacja i wychowanie</w:t>
            </w:r>
          </w:p>
        </w:tc>
      </w:tr>
      <w:tr w:rsidR="006E0C01" w:rsidRPr="00213798" w14:paraId="5075DA4C" w14:textId="77777777" w:rsidTr="006E6407">
        <w:tc>
          <w:tcPr>
            <w:tcW w:w="7818" w:type="dxa"/>
          </w:tcPr>
          <w:p w14:paraId="19DBF7B2"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Koszty funkcjonowania szkół w zestawieniu z wielkością subwencji oświatowej;</w:t>
            </w:r>
          </w:p>
        </w:tc>
        <w:tc>
          <w:tcPr>
            <w:tcW w:w="1244" w:type="dxa"/>
          </w:tcPr>
          <w:p w14:paraId="26BA3451"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2,6</w:t>
            </w:r>
          </w:p>
        </w:tc>
      </w:tr>
      <w:tr w:rsidR="006E0C01" w:rsidRPr="00213798" w14:paraId="28CA9F13" w14:textId="77777777" w:rsidTr="006E6407">
        <w:tc>
          <w:tcPr>
            <w:tcW w:w="7818" w:type="dxa"/>
          </w:tcPr>
          <w:p w14:paraId="54446B67"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Zróżnicowane koszty jednostkowe funkcjonowania placówek szkolnych na terenie gminy. </w:t>
            </w:r>
          </w:p>
        </w:tc>
        <w:tc>
          <w:tcPr>
            <w:tcW w:w="1244" w:type="dxa"/>
          </w:tcPr>
          <w:p w14:paraId="5FD9276E"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1,9</w:t>
            </w:r>
          </w:p>
        </w:tc>
      </w:tr>
      <w:tr w:rsidR="006E0C01" w:rsidRPr="00213798" w14:paraId="7EFD22A8" w14:textId="77777777" w:rsidTr="00A36CBA">
        <w:tc>
          <w:tcPr>
            <w:tcW w:w="9062" w:type="dxa"/>
            <w:gridSpan w:val="2"/>
            <w:shd w:val="clear" w:color="auto" w:fill="E2EFD9" w:themeFill="accent6" w:themeFillTint="33"/>
          </w:tcPr>
          <w:p w14:paraId="004555E7"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Kapitał społeczny</w:t>
            </w:r>
          </w:p>
        </w:tc>
      </w:tr>
      <w:tr w:rsidR="006E0C01" w:rsidRPr="00213798" w14:paraId="334B3C2A" w14:textId="77777777" w:rsidTr="006E6407">
        <w:tc>
          <w:tcPr>
            <w:tcW w:w="7818" w:type="dxa"/>
          </w:tcPr>
          <w:p w14:paraId="50277986"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Stosunkowo niska aktywność społeczności lokalnej w zakresie współzarządzania Gminą mimo istniejących możliwości  wynikających z działań władz samorządowych i NGO;</w:t>
            </w:r>
          </w:p>
        </w:tc>
        <w:tc>
          <w:tcPr>
            <w:tcW w:w="1244" w:type="dxa"/>
          </w:tcPr>
          <w:p w14:paraId="156DE086"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2,1</w:t>
            </w:r>
          </w:p>
        </w:tc>
      </w:tr>
      <w:tr w:rsidR="006E0C01" w:rsidRPr="00213798" w14:paraId="7793EA84" w14:textId="77777777" w:rsidTr="006E6407">
        <w:tc>
          <w:tcPr>
            <w:tcW w:w="7818" w:type="dxa"/>
          </w:tcPr>
          <w:p w14:paraId="684FD5AC" w14:textId="77777777" w:rsidR="006E0C01" w:rsidRPr="00213798" w:rsidRDefault="006E0C01" w:rsidP="006E6407">
            <w:pPr>
              <w:spacing w:line="276" w:lineRule="auto"/>
              <w:rPr>
                <w:rFonts w:ascii="Times New Roman" w:hAnsi="Times New Roman" w:cs="Times New Roman"/>
                <w:sz w:val="24"/>
                <w:szCs w:val="24"/>
                <w:u w:val="single"/>
              </w:rPr>
            </w:pPr>
            <w:r w:rsidRPr="00213798">
              <w:rPr>
                <w:rFonts w:ascii="Times New Roman" w:hAnsi="Times New Roman" w:cs="Times New Roman"/>
                <w:sz w:val="24"/>
                <w:szCs w:val="24"/>
              </w:rPr>
              <w:t xml:space="preserve">Ograniczone możliwości wprowadzania przedsięwzięć partnerstwa publiczno-prywatnego. </w:t>
            </w:r>
          </w:p>
        </w:tc>
        <w:tc>
          <w:tcPr>
            <w:tcW w:w="1244" w:type="dxa"/>
          </w:tcPr>
          <w:p w14:paraId="59C50D16" w14:textId="77777777" w:rsidR="006E0C01" w:rsidRPr="00213798" w:rsidRDefault="006E0C01" w:rsidP="006E6407">
            <w:pPr>
              <w:spacing w:line="276" w:lineRule="auto"/>
              <w:jc w:val="center"/>
              <w:rPr>
                <w:rFonts w:ascii="Times New Roman" w:hAnsi="Times New Roman" w:cs="Times New Roman"/>
                <w:b/>
                <w:bCs/>
                <w:sz w:val="24"/>
                <w:szCs w:val="24"/>
              </w:rPr>
            </w:pPr>
            <w:r w:rsidRPr="00213798">
              <w:rPr>
                <w:rFonts w:ascii="Times New Roman" w:hAnsi="Times New Roman" w:cs="Times New Roman"/>
                <w:b/>
                <w:bCs/>
                <w:sz w:val="24"/>
                <w:szCs w:val="24"/>
              </w:rPr>
              <w:t>1,8</w:t>
            </w:r>
          </w:p>
        </w:tc>
      </w:tr>
    </w:tbl>
    <w:p w14:paraId="0098CEE1" w14:textId="77671DC3" w:rsidR="006E0C01" w:rsidRDefault="006E0C01" w:rsidP="006E0C01">
      <w:pPr>
        <w:rPr>
          <w:rFonts w:ascii="Times New Roman" w:hAnsi="Times New Roman" w:cs="Times New Roman"/>
          <w:sz w:val="24"/>
          <w:szCs w:val="24"/>
        </w:rPr>
      </w:pPr>
      <w:r w:rsidRPr="00213798">
        <w:rPr>
          <w:rFonts w:ascii="Times New Roman" w:hAnsi="Times New Roman" w:cs="Times New Roman"/>
          <w:sz w:val="24"/>
          <w:szCs w:val="24"/>
        </w:rPr>
        <w:t xml:space="preserve">Źródło: opracowanie własne na podstawie wyników pracy warsztatowej </w:t>
      </w:r>
    </w:p>
    <w:p w14:paraId="49EDADBC" w14:textId="77777777" w:rsidR="00AD1C33" w:rsidRPr="00213798" w:rsidRDefault="00AD1C33" w:rsidP="006E0C01">
      <w:pPr>
        <w:rPr>
          <w:rFonts w:ascii="Times New Roman" w:hAnsi="Times New Roman" w:cs="Times New Roman"/>
          <w:sz w:val="24"/>
          <w:szCs w:val="24"/>
        </w:rPr>
      </w:pPr>
    </w:p>
    <w:p w14:paraId="01454A36" w14:textId="77777777" w:rsidR="006E0C01" w:rsidRPr="00213798" w:rsidRDefault="006E0C01" w:rsidP="006E0C01">
      <w:pPr>
        <w:spacing w:after="0"/>
        <w:rPr>
          <w:rFonts w:ascii="Times New Roman" w:hAnsi="Times New Roman" w:cs="Times New Roman"/>
          <w:sz w:val="24"/>
          <w:szCs w:val="24"/>
        </w:rPr>
      </w:pPr>
      <w:r w:rsidRPr="00213798">
        <w:rPr>
          <w:rFonts w:ascii="Times New Roman" w:hAnsi="Times New Roman" w:cs="Times New Roman"/>
          <w:sz w:val="24"/>
          <w:szCs w:val="24"/>
        </w:rPr>
        <w:t>Podsumowując analizę poszczególnych rangowań i uzyskane wyniki należy wskazać że:</w:t>
      </w:r>
    </w:p>
    <w:p w14:paraId="5A3C9D22" w14:textId="77777777" w:rsidR="006E0C01" w:rsidRPr="00213798" w:rsidRDefault="006E0C01">
      <w:pPr>
        <w:pStyle w:val="Akapitzlist"/>
        <w:numPr>
          <w:ilvl w:val="0"/>
          <w:numId w:val="91"/>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żadne z wyzwań/barier nie zostało uznane za kluczowe przez wszystkich, czyli nie uzyskało 3 pkt.;</w:t>
      </w:r>
    </w:p>
    <w:p w14:paraId="62650A6F" w14:textId="77777777" w:rsidR="006E0C01" w:rsidRPr="00213798" w:rsidRDefault="006E0C01">
      <w:pPr>
        <w:pStyle w:val="Akapitzlist"/>
        <w:numPr>
          <w:ilvl w:val="0"/>
          <w:numId w:val="91"/>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za najistotniejsze wyzwania i bariery uznano te, które w łącznej ocenie uzyskały powyżej 2,5 pkt., czyli:</w:t>
      </w:r>
    </w:p>
    <w:p w14:paraId="594E3730"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xml:space="preserve">- Konieczność dalszej rozbudowy i modernizacji w zakresie dostępności Internetu wynikająca z niedostatecznej dostępności połączeń odpowiadających rosnącym </w:t>
      </w:r>
      <w:r w:rsidRPr="00213798">
        <w:rPr>
          <w:rFonts w:ascii="Times New Roman" w:hAnsi="Times New Roman" w:cs="Times New Roman"/>
          <w:sz w:val="24"/>
          <w:szCs w:val="24"/>
        </w:rPr>
        <w:lastRenderedPageBreak/>
        <w:t>standardom i  wymaganiom  (warto dodać, że dotyczy to przede wszystkim obszaru wiejskiego gminy);</w:t>
      </w:r>
    </w:p>
    <w:p w14:paraId="28A817BD"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Zagrożenie procesem starzenia się ludności i wynikającymi z tego  konsekwencjami – niedobór zasobów pracy na rynku lokalnym, rosnące wydatki na usługi ochrony zdrowia, pomocy społecznej itp.;</w:t>
      </w:r>
    </w:p>
    <w:p w14:paraId="53A36555"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Zagrożenie zmniejszeniem poziomu lokalnej przedsiębiorczości wynikające z konkurencji silnych ośrodków usługowo-przemysłowych: najludniejsza gmina miejsko-wiejska w Polsce – Piaseczno, a zwłaszcza Warszawa;</w:t>
      </w:r>
    </w:p>
    <w:p w14:paraId="3E734625"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Zagrożenie marginalizacją w znalezieniu zatrudnienia dla grupy wiekowej ludności 50+;</w:t>
      </w:r>
    </w:p>
    <w:p w14:paraId="6756D23B"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Wyzwania związane z upowszechnianiem Odnawialnych Źródeł Energii (OZE), w tym likwidacja zagrożeń związanych intensywnością zanieczyszczeń „niskiej emisji” z lokalnych systemów grzewczych;</w:t>
      </w:r>
    </w:p>
    <w:p w14:paraId="08CC04A4"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Niestabilne warunki funkcjonowania systemu gospodarki odpadami, w szczególności w zakresie selektywnej zbiórki i recyklingu oraz rosnące koszty jego funkcjonowania;</w:t>
      </w:r>
    </w:p>
    <w:p w14:paraId="15DACDF0"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Rozproszenie sieci osadniczej oraz występowanie miejscowości liczących do 250 mieszkańców i mniejszych jako czynnik podwyższający koszty budowy i utrzymania infrastruktury technicznej (zwłaszcza sieciowej) i społecznej;</w:t>
      </w:r>
    </w:p>
    <w:p w14:paraId="061B392C"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hAnsi="Times New Roman" w:cs="Times New Roman"/>
          <w:sz w:val="24"/>
          <w:szCs w:val="24"/>
        </w:rPr>
        <w:t xml:space="preserve">- Koszty funkcjonowania szkół w zestawieniu z wielkością subwencji oświatowej. </w:t>
      </w:r>
    </w:p>
    <w:p w14:paraId="5D6CFD50" w14:textId="77777777" w:rsidR="006E0C01" w:rsidRPr="00213798" w:rsidRDefault="006E0C01">
      <w:pPr>
        <w:pStyle w:val="Akapitzlist"/>
        <w:numPr>
          <w:ilvl w:val="0"/>
          <w:numId w:val="92"/>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za najmniej istotne wyzwania i bariery, czyli takie, które uzyskały poniżej 1,5 pkt. w ocenie uznano: </w:t>
      </w:r>
    </w:p>
    <w:p w14:paraId="393EC5F9" w14:textId="77777777" w:rsidR="006E0C01" w:rsidRPr="00213798" w:rsidRDefault="006E0C01" w:rsidP="006E0C01">
      <w:pPr>
        <w:pStyle w:val="Akapitzlist"/>
        <w:spacing w:after="0"/>
        <w:ind w:left="1276"/>
        <w:jc w:val="both"/>
        <w:rPr>
          <w:rFonts w:ascii="Times New Roman" w:eastAsia="ArialMT" w:hAnsi="Times New Roman" w:cs="Times New Roman"/>
          <w:sz w:val="24"/>
          <w:szCs w:val="24"/>
        </w:rPr>
      </w:pPr>
      <w:r w:rsidRPr="00213798">
        <w:rPr>
          <w:rFonts w:ascii="Times New Roman" w:hAnsi="Times New Roman" w:cs="Times New Roman"/>
          <w:sz w:val="24"/>
          <w:szCs w:val="24"/>
        </w:rPr>
        <w:t xml:space="preserve">- </w:t>
      </w:r>
      <w:r w:rsidRPr="00213798">
        <w:rPr>
          <w:rFonts w:ascii="Times New Roman" w:eastAsia="ArialMT" w:hAnsi="Times New Roman" w:cs="Times New Roman"/>
          <w:sz w:val="24"/>
          <w:szCs w:val="24"/>
        </w:rPr>
        <w:t>Trudności z integracją społeczności lokalnej w warunkach dużego udziału ludności czasowo zamieszkującej, w tym w sezonie „rekreacyjno-urlopowym” (m.in. drugie domy);</w:t>
      </w:r>
    </w:p>
    <w:p w14:paraId="383DA81D" w14:textId="77777777" w:rsidR="006E0C01" w:rsidRPr="00213798" w:rsidRDefault="006E0C01" w:rsidP="006E0C01">
      <w:pPr>
        <w:pStyle w:val="Akapitzlist"/>
        <w:spacing w:after="0"/>
        <w:ind w:left="1276"/>
        <w:jc w:val="both"/>
        <w:rPr>
          <w:rFonts w:ascii="Times New Roman" w:hAnsi="Times New Roman" w:cs="Times New Roman"/>
          <w:sz w:val="24"/>
          <w:szCs w:val="24"/>
        </w:rPr>
      </w:pPr>
      <w:r w:rsidRPr="00213798">
        <w:rPr>
          <w:rFonts w:ascii="Times New Roman" w:eastAsia="ArialMT" w:hAnsi="Times New Roman" w:cs="Times New Roman"/>
          <w:sz w:val="24"/>
          <w:szCs w:val="24"/>
        </w:rPr>
        <w:t xml:space="preserve">- </w:t>
      </w:r>
      <w:r w:rsidRPr="00213798">
        <w:rPr>
          <w:rFonts w:ascii="Times New Roman" w:hAnsi="Times New Roman" w:cs="Times New Roman"/>
          <w:sz w:val="24"/>
          <w:szCs w:val="24"/>
        </w:rPr>
        <w:t xml:space="preserve">Ograniczona oferta tematyczna uwzględniająca współcześnie popularne dyscypliny sportowe. </w:t>
      </w:r>
    </w:p>
    <w:p w14:paraId="4D09102D" w14:textId="3E2EF4B7" w:rsidR="006E0C01" w:rsidRPr="00213798" w:rsidRDefault="006E0C01" w:rsidP="00AD1C33">
      <w:pPr>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Analiza jednostkowych ocen wskazuje, że największe zróżnicowane można wskazać w rangach nadawanych wyzwaniom i barierom dotyczącym:  kultury i dziedzictwo kulturowego, sportu, rekreacji i turystyki oraz kapitału społecznego. </w:t>
      </w:r>
    </w:p>
    <w:p w14:paraId="4BC86102" w14:textId="565EA6C6" w:rsidR="006E0C01" w:rsidRPr="00213798" w:rsidRDefault="006E0C01" w:rsidP="00B94438">
      <w:pPr>
        <w:jc w:val="both"/>
        <w:rPr>
          <w:rFonts w:ascii="Times New Roman" w:hAnsi="Times New Roman" w:cs="Times New Roman"/>
          <w:sz w:val="24"/>
          <w:szCs w:val="24"/>
        </w:rPr>
      </w:pPr>
      <w:r w:rsidRPr="00213798">
        <w:rPr>
          <w:rFonts w:ascii="Times New Roman" w:hAnsi="Times New Roman" w:cs="Times New Roman"/>
          <w:sz w:val="24"/>
          <w:szCs w:val="24"/>
        </w:rPr>
        <w:t>Uzupełnieniem perspektywy oceny problemów rozwojowych Gminy jest ocena interesariuszy zewnętrznych (a nawet szerzej użytkowników np. sympatyków Gminy).   W tym wypadku główne problemy i wzywania rozwojowe zidentyfikowano na podstawie przeprowadzonego badania ankietowego</w:t>
      </w:r>
      <w:r w:rsidR="00AD1C33">
        <w:rPr>
          <w:rFonts w:ascii="Times New Roman" w:hAnsi="Times New Roman" w:cs="Times New Roman"/>
          <w:sz w:val="24"/>
          <w:szCs w:val="24"/>
        </w:rPr>
        <w:t xml:space="preserve"> (na etapie opracowywania Diagnozy społeczno-gospodarczej)</w:t>
      </w:r>
      <w:r w:rsidRPr="00213798">
        <w:rPr>
          <w:rFonts w:ascii="Times New Roman" w:hAnsi="Times New Roman" w:cs="Times New Roman"/>
          <w:sz w:val="24"/>
          <w:szCs w:val="24"/>
        </w:rPr>
        <w:t>. Ankiet</w:t>
      </w:r>
      <w:r w:rsidR="00AD1C33">
        <w:rPr>
          <w:rFonts w:ascii="Times New Roman" w:hAnsi="Times New Roman" w:cs="Times New Roman"/>
          <w:sz w:val="24"/>
          <w:szCs w:val="24"/>
        </w:rPr>
        <w:t>ę</w:t>
      </w:r>
      <w:r w:rsidRPr="00213798">
        <w:rPr>
          <w:rFonts w:ascii="Times New Roman" w:hAnsi="Times New Roman" w:cs="Times New Roman"/>
          <w:sz w:val="24"/>
          <w:szCs w:val="24"/>
        </w:rPr>
        <w:t xml:space="preserve"> w formie on-line wypełniło 157 osób.  Ogólna analiza wyników badania ankietowego pozwoliła na sformułowanie następujących  problemów strategicznych:</w:t>
      </w:r>
    </w:p>
    <w:p w14:paraId="613E5840" w14:textId="77777777" w:rsidR="006E0C01" w:rsidRPr="003C55AB" w:rsidRDefault="006E0C01" w:rsidP="00AD1C33">
      <w:pPr>
        <w:pStyle w:val="Akapitzlist"/>
        <w:numPr>
          <w:ilvl w:val="0"/>
          <w:numId w:val="88"/>
        </w:numPr>
        <w:spacing w:after="0" w:line="276" w:lineRule="auto"/>
        <w:jc w:val="both"/>
        <w:rPr>
          <w:rFonts w:ascii="Times New Roman" w:hAnsi="Times New Roman" w:cs="Times New Roman"/>
          <w:sz w:val="24"/>
          <w:szCs w:val="24"/>
        </w:rPr>
      </w:pPr>
      <w:r w:rsidRPr="003C55AB">
        <w:rPr>
          <w:rFonts w:ascii="Times New Roman" w:hAnsi="Times New Roman" w:cs="Times New Roman"/>
          <w:sz w:val="24"/>
          <w:szCs w:val="24"/>
        </w:rPr>
        <w:t>niska ocena jakości życia na terenie Gminy (2,77 w 5-stopniowej skali, w tym tylko 5 ocen na 5 i  aż 32 na 1). Warto zaznaczyć, że na oceny najniższe, czyli 1, wpływ miały głównie negatywne oceny infrastruktury i komunikacji;</w:t>
      </w:r>
    </w:p>
    <w:p w14:paraId="540479B1" w14:textId="4F5EB547" w:rsidR="006E0C01" w:rsidRPr="003C55AB" w:rsidRDefault="006E0C01" w:rsidP="00AD1C33">
      <w:pPr>
        <w:pStyle w:val="Akapitzlist"/>
        <w:numPr>
          <w:ilvl w:val="0"/>
          <w:numId w:val="88"/>
        </w:numPr>
        <w:spacing w:after="0" w:line="276" w:lineRule="auto"/>
        <w:jc w:val="both"/>
        <w:rPr>
          <w:rFonts w:ascii="Times New Roman" w:hAnsi="Times New Roman" w:cs="Times New Roman"/>
          <w:sz w:val="24"/>
          <w:szCs w:val="24"/>
        </w:rPr>
      </w:pPr>
      <w:r w:rsidRPr="003C55AB">
        <w:rPr>
          <w:rFonts w:ascii="Times New Roman" w:hAnsi="Times New Roman" w:cs="Times New Roman"/>
          <w:sz w:val="24"/>
          <w:szCs w:val="24"/>
        </w:rPr>
        <w:t>bariera związana z  zarządzaniem strategicznym (nieznajomość Strategii – deklaruje ją 57% ankietowanych, zła ocena wdrażania dokumentu 19% ankietowanych)</w:t>
      </w:r>
      <w:r w:rsidR="003C55AB">
        <w:rPr>
          <w:rFonts w:ascii="Times New Roman" w:hAnsi="Times New Roman" w:cs="Times New Roman"/>
          <w:sz w:val="24"/>
          <w:szCs w:val="24"/>
        </w:rPr>
        <w:t xml:space="preserve">; </w:t>
      </w:r>
    </w:p>
    <w:p w14:paraId="019BCB0F" w14:textId="3E864BB0" w:rsidR="006E0C01" w:rsidRPr="00AD1C33" w:rsidRDefault="006E0C01" w:rsidP="00AD1C33">
      <w:pPr>
        <w:pStyle w:val="Akapitzlist"/>
        <w:numPr>
          <w:ilvl w:val="0"/>
          <w:numId w:val="88"/>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bariera związana z dostępnością środków na wdrażanie zapisów strategii  (zdecydowanie najczęściej wskazywana w odpowiedziach na otwarte pytanie); </w:t>
      </w:r>
    </w:p>
    <w:p w14:paraId="1EB8CF62" w14:textId="571BBD00" w:rsidR="006E0C01" w:rsidRDefault="006E0C01" w:rsidP="00AD1C33">
      <w:pPr>
        <w:pStyle w:val="Akapitzlist"/>
        <w:numPr>
          <w:ilvl w:val="0"/>
          <w:numId w:val="88"/>
        </w:numPr>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lastRenderedPageBreak/>
        <w:t>bariera związana z wdrożeniem współzarządzania oraz z komunikacją społeczną i informacją  – 34% ankietowanych uważa, że konsultacje społeczne w Gminie to fikcja, a 25% nie ma zdania nt. konsultacji społecznych prowadzonych w ostatnich latach</w:t>
      </w:r>
      <w:r w:rsidR="00AD1C33">
        <w:rPr>
          <w:rFonts w:ascii="Times New Roman" w:hAnsi="Times New Roman" w:cs="Times New Roman"/>
          <w:sz w:val="24"/>
          <w:szCs w:val="24"/>
        </w:rPr>
        <w:t xml:space="preserve">. </w:t>
      </w:r>
    </w:p>
    <w:p w14:paraId="39D38085" w14:textId="2B5C871A" w:rsidR="003C55AB" w:rsidRDefault="003C55AB" w:rsidP="003C55AB">
      <w:pPr>
        <w:spacing w:after="0" w:line="276" w:lineRule="auto"/>
        <w:ind w:left="360"/>
        <w:jc w:val="both"/>
        <w:rPr>
          <w:rFonts w:ascii="Times New Roman" w:hAnsi="Times New Roman" w:cs="Times New Roman"/>
          <w:sz w:val="24"/>
          <w:szCs w:val="24"/>
        </w:rPr>
      </w:pPr>
    </w:p>
    <w:p w14:paraId="1DC5957F" w14:textId="468CDFE6" w:rsidR="003C55AB" w:rsidRDefault="003C55AB" w:rsidP="003C55AB">
      <w:pPr>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Kolejnym, w zakresie diagnozowania problemów rozwojowych Góry Kalwarii, etapem była burza mózgów i dyskusja warsztatowa (w dniu 19 października 2022 roku). Na jej podstawie  wskazano następującą listę barier dla rozwoju lokalnego (podkreślono te, które zdaniem uczestników warsztatu powinny być podjęte w Strategii):</w:t>
      </w:r>
    </w:p>
    <w:p w14:paraId="25764C4E" w14:textId="3F882A0F" w:rsidR="003C55AB" w:rsidRDefault="003C55AB">
      <w:pPr>
        <w:pStyle w:val="Akapitzlist"/>
        <w:numPr>
          <w:ilvl w:val="0"/>
          <w:numId w:val="101"/>
        </w:numPr>
        <w:spacing w:after="0" w:line="276" w:lineRule="auto"/>
        <w:jc w:val="both"/>
        <w:rPr>
          <w:rFonts w:ascii="Times New Roman" w:hAnsi="Times New Roman" w:cs="Times New Roman"/>
          <w:sz w:val="24"/>
          <w:szCs w:val="24"/>
          <w:u w:val="single"/>
        </w:rPr>
      </w:pPr>
      <w:r w:rsidRPr="003C55AB">
        <w:rPr>
          <w:rFonts w:ascii="Times New Roman" w:hAnsi="Times New Roman" w:cs="Times New Roman"/>
          <w:sz w:val="24"/>
          <w:szCs w:val="24"/>
          <w:u w:val="single"/>
        </w:rPr>
        <w:t>słaby marketing terytorialny oraz brak produktów (marek) terytorialnych</w:t>
      </w:r>
      <w:r>
        <w:rPr>
          <w:rFonts w:ascii="Times New Roman" w:hAnsi="Times New Roman" w:cs="Times New Roman"/>
          <w:sz w:val="24"/>
          <w:szCs w:val="24"/>
          <w:u w:val="single"/>
        </w:rPr>
        <w:t>;</w:t>
      </w:r>
    </w:p>
    <w:p w14:paraId="65C268A9" w14:textId="4FE61B4F" w:rsidR="003C55AB" w:rsidRDefault="003C55AB">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niedostosowana do potrzeb oferta aktywizacji dla młodzieży;</w:t>
      </w:r>
    </w:p>
    <w:p w14:paraId="374C3243" w14:textId="7B2A50A7" w:rsidR="003C55AB" w:rsidRDefault="003C55AB">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niewielka realizacja dotychczas przyjętych strategii i programów;</w:t>
      </w:r>
    </w:p>
    <w:p w14:paraId="21651AB2" w14:textId="2680388E" w:rsidR="003C55AB" w:rsidRDefault="003C55AB">
      <w:pPr>
        <w:pStyle w:val="Akapitzlist"/>
        <w:numPr>
          <w:ilvl w:val="0"/>
          <w:numId w:val="101"/>
        </w:numPr>
        <w:spacing w:after="0" w:line="276" w:lineRule="auto"/>
        <w:jc w:val="both"/>
        <w:rPr>
          <w:rFonts w:ascii="Times New Roman" w:hAnsi="Times New Roman" w:cs="Times New Roman"/>
          <w:sz w:val="24"/>
          <w:szCs w:val="24"/>
        </w:rPr>
      </w:pPr>
      <w:r w:rsidRPr="003C55AB">
        <w:rPr>
          <w:rFonts w:ascii="Times New Roman" w:hAnsi="Times New Roman" w:cs="Times New Roman"/>
          <w:sz w:val="24"/>
          <w:szCs w:val="24"/>
        </w:rPr>
        <w:t>pauperyzacja społeczeństwa;</w:t>
      </w:r>
    </w:p>
    <w:p w14:paraId="20066FC3" w14:textId="11DFC1D3" w:rsidR="003C55AB" w:rsidRDefault="00137B48">
      <w:pPr>
        <w:pStyle w:val="Akapitzlist"/>
        <w:numPr>
          <w:ilvl w:val="0"/>
          <w:numId w:val="10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polityka finansowa państwa, przekazywanie nowych zadań do realizacji samorządom bez wsparcia finansowego; </w:t>
      </w:r>
    </w:p>
    <w:p w14:paraId="501B7FD6" w14:textId="7A04A51D" w:rsidR="00137B48" w:rsidRDefault="00137B48">
      <w:pPr>
        <w:pStyle w:val="Akapitzlist"/>
        <w:numPr>
          <w:ilvl w:val="0"/>
          <w:numId w:val="10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niewydolność służby zdrowia; </w:t>
      </w:r>
    </w:p>
    <w:p w14:paraId="1F3F34E9" w14:textId="2984BEC4" w:rsidR="00600479" w:rsidRPr="00600479" w:rsidRDefault="00600479">
      <w:pPr>
        <w:pStyle w:val="Akapitzlist"/>
        <w:numPr>
          <w:ilvl w:val="0"/>
          <w:numId w:val="101"/>
        </w:numPr>
        <w:spacing w:after="0" w:line="276" w:lineRule="auto"/>
        <w:jc w:val="both"/>
        <w:rPr>
          <w:rFonts w:ascii="Times New Roman" w:hAnsi="Times New Roman" w:cs="Times New Roman"/>
          <w:sz w:val="24"/>
          <w:szCs w:val="24"/>
          <w:u w:val="single"/>
        </w:rPr>
      </w:pPr>
      <w:r w:rsidRPr="00600479">
        <w:rPr>
          <w:rFonts w:ascii="Times New Roman" w:hAnsi="Times New Roman" w:cs="Times New Roman"/>
          <w:sz w:val="24"/>
          <w:szCs w:val="24"/>
          <w:u w:val="single"/>
        </w:rPr>
        <w:t xml:space="preserve">zbyt mała w stosunku do potrzeb liczba miejsc w żłobkach; </w:t>
      </w:r>
    </w:p>
    <w:p w14:paraId="501F0268" w14:textId="00B9CA3E" w:rsidR="00137B48" w:rsidRP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sidRPr="00137B48">
        <w:rPr>
          <w:rFonts w:ascii="Times New Roman" w:hAnsi="Times New Roman" w:cs="Times New Roman"/>
          <w:sz w:val="24"/>
          <w:szCs w:val="24"/>
          <w:u w:val="single"/>
        </w:rPr>
        <w:t xml:space="preserve">bardzo zróżnicowany poziom rozwoju infrastruktury w poszczególnych miejscowościach gminy; </w:t>
      </w:r>
    </w:p>
    <w:p w14:paraId="4785573F" w14:textId="12E12687" w:rsidR="003C55AB" w:rsidRDefault="00137B48">
      <w:pPr>
        <w:pStyle w:val="Akapitzlist"/>
        <w:numPr>
          <w:ilvl w:val="0"/>
          <w:numId w:val="101"/>
        </w:numPr>
        <w:spacing w:after="0" w:line="276" w:lineRule="auto"/>
        <w:jc w:val="both"/>
        <w:rPr>
          <w:rFonts w:ascii="Times New Roman" w:hAnsi="Times New Roman" w:cs="Times New Roman"/>
          <w:sz w:val="24"/>
          <w:szCs w:val="24"/>
        </w:rPr>
      </w:pPr>
      <w:r w:rsidRPr="00137B48">
        <w:rPr>
          <w:rFonts w:ascii="Times New Roman" w:hAnsi="Times New Roman" w:cs="Times New Roman"/>
          <w:sz w:val="24"/>
          <w:szCs w:val="24"/>
        </w:rPr>
        <w:t>rozległość przestrzeni gminy/ dużo małych miejscowości</w:t>
      </w:r>
      <w:r w:rsidR="00600479">
        <w:rPr>
          <w:rFonts w:ascii="Times New Roman" w:hAnsi="Times New Roman" w:cs="Times New Roman"/>
          <w:sz w:val="24"/>
          <w:szCs w:val="24"/>
        </w:rPr>
        <w:t xml:space="preserve"> (zbyt małe sołectwa)</w:t>
      </w:r>
      <w:r w:rsidRPr="00137B48">
        <w:rPr>
          <w:rFonts w:ascii="Times New Roman" w:hAnsi="Times New Roman" w:cs="Times New Roman"/>
          <w:sz w:val="24"/>
          <w:szCs w:val="24"/>
        </w:rPr>
        <w:t xml:space="preserve">; </w:t>
      </w:r>
    </w:p>
    <w:p w14:paraId="01C3BA53" w14:textId="77777777" w:rsidR="00137B48" w:rsidRDefault="00137B48">
      <w:pPr>
        <w:pStyle w:val="Akapitzlist"/>
        <w:numPr>
          <w:ilvl w:val="0"/>
          <w:numId w:val="10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położenie tranzytowe, co generuje korki i zanieczyszczenia powietrza;</w:t>
      </w:r>
    </w:p>
    <w:p w14:paraId="00F029FB" w14:textId="77777777" w:rsidR="00137B48" w:rsidRP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sidRPr="00137B48">
        <w:rPr>
          <w:rFonts w:ascii="Times New Roman" w:hAnsi="Times New Roman" w:cs="Times New Roman"/>
          <w:sz w:val="24"/>
          <w:szCs w:val="24"/>
          <w:u w:val="single"/>
        </w:rPr>
        <w:t>słabość lokalnego rynku pracy;</w:t>
      </w:r>
    </w:p>
    <w:p w14:paraId="4A7DA4D5" w14:textId="73646180" w:rsid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rPr>
        <w:t xml:space="preserve"> </w:t>
      </w:r>
      <w:r w:rsidRPr="00137B48">
        <w:rPr>
          <w:rFonts w:ascii="Times New Roman" w:hAnsi="Times New Roman" w:cs="Times New Roman"/>
          <w:sz w:val="24"/>
          <w:szCs w:val="24"/>
          <w:u w:val="single"/>
        </w:rPr>
        <w:t xml:space="preserve">nie w pełni wykorzystany potencjał rozwojowy związany z turystyką i walorami Wisły; </w:t>
      </w:r>
    </w:p>
    <w:p w14:paraId="6CFD688E" w14:textId="3A4C002F" w:rsid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zbyt dużo placówek oświatowych na terenie gminy, co generuje wysoki</w:t>
      </w:r>
      <w:r w:rsidR="00600479">
        <w:rPr>
          <w:rFonts w:ascii="Times New Roman" w:hAnsi="Times New Roman" w:cs="Times New Roman"/>
          <w:sz w:val="24"/>
          <w:szCs w:val="24"/>
          <w:u w:val="single"/>
        </w:rPr>
        <w:t>e</w:t>
      </w:r>
      <w:r>
        <w:rPr>
          <w:rFonts w:ascii="Times New Roman" w:hAnsi="Times New Roman" w:cs="Times New Roman"/>
          <w:sz w:val="24"/>
          <w:szCs w:val="24"/>
          <w:u w:val="single"/>
        </w:rPr>
        <w:t xml:space="preserve"> koszty</w:t>
      </w:r>
      <w:r w:rsidR="00600479">
        <w:rPr>
          <w:rFonts w:ascii="Times New Roman" w:hAnsi="Times New Roman" w:cs="Times New Roman"/>
          <w:sz w:val="24"/>
          <w:szCs w:val="24"/>
          <w:u w:val="single"/>
        </w:rPr>
        <w:t xml:space="preserve"> (mała liczebność klas, niedopasowana do potrzeb rejonizacja)</w:t>
      </w:r>
      <w:r>
        <w:rPr>
          <w:rFonts w:ascii="Times New Roman" w:hAnsi="Times New Roman" w:cs="Times New Roman"/>
          <w:sz w:val="24"/>
          <w:szCs w:val="24"/>
          <w:u w:val="single"/>
        </w:rPr>
        <w:t xml:space="preserve">; </w:t>
      </w:r>
    </w:p>
    <w:p w14:paraId="0DE5F337" w14:textId="77777777" w:rsid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średnia (w stosunku do regionu i kraju) aktywność społeczna (niewykorzystany potencjał seniorów);</w:t>
      </w:r>
    </w:p>
    <w:p w14:paraId="55A3449F" w14:textId="07F53DB7" w:rsidR="00137B48" w:rsidRDefault="00137B48">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występowanie „białych plam” w komunikacji wewnętrznej na obszarze gminy;</w:t>
      </w:r>
    </w:p>
    <w:p w14:paraId="664D4D26" w14:textId="52B0424F" w:rsidR="00137B48" w:rsidRDefault="00600479">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niedostateczna baza kulturalno-społeczna;</w:t>
      </w:r>
    </w:p>
    <w:p w14:paraId="4EECB03B" w14:textId="4683A491" w:rsidR="00600479" w:rsidRDefault="00600479">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nie w pełni wykorzystane gminne zasoby lokalowe (np. na cele kulturalne, działalność społeczną);</w:t>
      </w:r>
    </w:p>
    <w:p w14:paraId="1D3EA3F9" w14:textId="628FB82C" w:rsidR="00600479" w:rsidRDefault="00600479">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niski poziom produkcji energii z OZE; </w:t>
      </w:r>
    </w:p>
    <w:p w14:paraId="3E99537D" w14:textId="10AFDABA" w:rsidR="00600479" w:rsidRDefault="00600479">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brak funduszu partycypacyjnego dedykowanego tylko dla miasta; </w:t>
      </w:r>
    </w:p>
    <w:p w14:paraId="4566C845" w14:textId="6180B844" w:rsidR="00600479" w:rsidRPr="00137B48" w:rsidRDefault="00600479">
      <w:pPr>
        <w:pStyle w:val="Akapitzlist"/>
        <w:numPr>
          <w:ilvl w:val="0"/>
          <w:numId w:val="101"/>
        </w:numPr>
        <w:spacing w:after="0"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roszczeniowość i niezadowolenie części mieszkańców gminy, niewielki stopień tożsamości lokalnej.  </w:t>
      </w:r>
    </w:p>
    <w:p w14:paraId="17B7C7F7" w14:textId="084A199F" w:rsidR="003C55AB" w:rsidRPr="003C55AB" w:rsidRDefault="003C55AB" w:rsidP="003C55AB">
      <w:pPr>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p>
    <w:p w14:paraId="720637F4" w14:textId="4A28A9F1" w:rsidR="00061FDC" w:rsidRDefault="00600479" w:rsidP="00F9782E">
      <w:pPr>
        <w:jc w:val="both"/>
        <w:rPr>
          <w:rFonts w:ascii="Times New Roman" w:hAnsi="Times New Roman" w:cs="Times New Roman"/>
          <w:sz w:val="24"/>
          <w:szCs w:val="24"/>
        </w:rPr>
      </w:pPr>
      <w:r>
        <w:rPr>
          <w:rFonts w:ascii="Times New Roman" w:hAnsi="Times New Roman" w:cs="Times New Roman"/>
          <w:sz w:val="24"/>
          <w:szCs w:val="24"/>
        </w:rPr>
        <w:t>Sformułowane bariery i problemy rozwojowe m</w:t>
      </w:r>
      <w:r w:rsidR="00F9782E">
        <w:rPr>
          <w:rFonts w:ascii="Times New Roman" w:hAnsi="Times New Roman" w:cs="Times New Roman"/>
          <w:sz w:val="24"/>
          <w:szCs w:val="24"/>
        </w:rPr>
        <w:t>a</w:t>
      </w:r>
      <w:r>
        <w:rPr>
          <w:rFonts w:ascii="Times New Roman" w:hAnsi="Times New Roman" w:cs="Times New Roman"/>
          <w:sz w:val="24"/>
          <w:szCs w:val="24"/>
        </w:rPr>
        <w:t>j</w:t>
      </w:r>
      <w:r w:rsidR="00F9782E">
        <w:rPr>
          <w:rFonts w:ascii="Times New Roman" w:hAnsi="Times New Roman" w:cs="Times New Roman"/>
          <w:sz w:val="24"/>
          <w:szCs w:val="24"/>
        </w:rPr>
        <w:t>ą</w:t>
      </w:r>
      <w:r>
        <w:rPr>
          <w:rFonts w:ascii="Times New Roman" w:hAnsi="Times New Roman" w:cs="Times New Roman"/>
          <w:sz w:val="24"/>
          <w:szCs w:val="24"/>
        </w:rPr>
        <w:t xml:space="preserve"> ró</w:t>
      </w:r>
      <w:r w:rsidR="00F9782E">
        <w:rPr>
          <w:rFonts w:ascii="Times New Roman" w:hAnsi="Times New Roman" w:cs="Times New Roman"/>
          <w:sz w:val="24"/>
          <w:szCs w:val="24"/>
        </w:rPr>
        <w:t>ż</w:t>
      </w:r>
      <w:r>
        <w:rPr>
          <w:rFonts w:ascii="Times New Roman" w:hAnsi="Times New Roman" w:cs="Times New Roman"/>
          <w:sz w:val="24"/>
          <w:szCs w:val="24"/>
        </w:rPr>
        <w:t xml:space="preserve">ny </w:t>
      </w:r>
      <w:r w:rsidR="00F9782E">
        <w:rPr>
          <w:rFonts w:ascii="Times New Roman" w:hAnsi="Times New Roman" w:cs="Times New Roman"/>
          <w:sz w:val="24"/>
          <w:szCs w:val="24"/>
        </w:rPr>
        <w:t>stopień</w:t>
      </w:r>
      <w:r>
        <w:rPr>
          <w:rFonts w:ascii="Times New Roman" w:hAnsi="Times New Roman" w:cs="Times New Roman"/>
          <w:sz w:val="24"/>
          <w:szCs w:val="24"/>
        </w:rPr>
        <w:t xml:space="preserve"> </w:t>
      </w:r>
      <w:r w:rsidR="00F9782E">
        <w:rPr>
          <w:rFonts w:ascii="Times New Roman" w:hAnsi="Times New Roman" w:cs="Times New Roman"/>
          <w:sz w:val="24"/>
          <w:szCs w:val="24"/>
        </w:rPr>
        <w:t>szczegółowości</w:t>
      </w:r>
      <w:r>
        <w:rPr>
          <w:rFonts w:ascii="Times New Roman" w:hAnsi="Times New Roman" w:cs="Times New Roman"/>
          <w:sz w:val="24"/>
          <w:szCs w:val="24"/>
        </w:rPr>
        <w:t xml:space="preserve">, w </w:t>
      </w:r>
      <w:r w:rsidR="00F9782E">
        <w:rPr>
          <w:rFonts w:ascii="Times New Roman" w:hAnsi="Times New Roman" w:cs="Times New Roman"/>
          <w:sz w:val="24"/>
          <w:szCs w:val="24"/>
        </w:rPr>
        <w:t>różny</w:t>
      </w:r>
      <w:r>
        <w:rPr>
          <w:rFonts w:ascii="Times New Roman" w:hAnsi="Times New Roman" w:cs="Times New Roman"/>
          <w:sz w:val="24"/>
          <w:szCs w:val="24"/>
        </w:rPr>
        <w:t xml:space="preserve"> te</w:t>
      </w:r>
      <w:r w:rsidR="00F9782E">
        <w:rPr>
          <w:rFonts w:ascii="Times New Roman" w:hAnsi="Times New Roman" w:cs="Times New Roman"/>
          <w:sz w:val="24"/>
          <w:szCs w:val="24"/>
        </w:rPr>
        <w:t>ż</w:t>
      </w:r>
      <w:r>
        <w:rPr>
          <w:rFonts w:ascii="Times New Roman" w:hAnsi="Times New Roman" w:cs="Times New Roman"/>
          <w:sz w:val="24"/>
          <w:szCs w:val="24"/>
        </w:rPr>
        <w:t xml:space="preserve"> sposób wpisują się w zadania (</w:t>
      </w:r>
      <w:r w:rsidR="00F9782E">
        <w:rPr>
          <w:rFonts w:ascii="Times New Roman" w:hAnsi="Times New Roman" w:cs="Times New Roman"/>
          <w:sz w:val="24"/>
          <w:szCs w:val="24"/>
        </w:rPr>
        <w:t>własne</w:t>
      </w:r>
      <w:r>
        <w:rPr>
          <w:rFonts w:ascii="Times New Roman" w:hAnsi="Times New Roman" w:cs="Times New Roman"/>
          <w:sz w:val="24"/>
          <w:szCs w:val="24"/>
        </w:rPr>
        <w:t xml:space="preserve"> i zlecone) gminy</w:t>
      </w:r>
      <w:r w:rsidR="00F9782E">
        <w:rPr>
          <w:rFonts w:ascii="Times New Roman" w:hAnsi="Times New Roman" w:cs="Times New Roman"/>
          <w:sz w:val="24"/>
          <w:szCs w:val="24"/>
        </w:rPr>
        <w:t xml:space="preserve">. Sformułowanie barier rozwojowych pozwoliło na dyskusje na temat celów strategii i kierunków działań, które powinny doprowadzić do niwelowania zdiagnozowanych problemów. </w:t>
      </w:r>
    </w:p>
    <w:p w14:paraId="534B7499" w14:textId="10C4FD68" w:rsidR="00AD1C33" w:rsidRDefault="00AD1C33" w:rsidP="00061FDC">
      <w:pPr>
        <w:rPr>
          <w:rFonts w:ascii="Times New Roman" w:hAnsi="Times New Roman" w:cs="Times New Roman"/>
          <w:sz w:val="24"/>
          <w:szCs w:val="24"/>
        </w:rPr>
      </w:pPr>
    </w:p>
    <w:p w14:paraId="703A40DE" w14:textId="05D7666F" w:rsidR="00AD1C33" w:rsidRDefault="00AD1C33" w:rsidP="00061FDC">
      <w:pPr>
        <w:rPr>
          <w:rFonts w:ascii="Times New Roman" w:hAnsi="Times New Roman" w:cs="Times New Roman"/>
          <w:sz w:val="24"/>
          <w:szCs w:val="24"/>
        </w:rPr>
      </w:pPr>
    </w:p>
    <w:p w14:paraId="7D559749" w14:textId="25CC2334" w:rsidR="00061FDC" w:rsidRPr="004E07DD" w:rsidRDefault="00213798" w:rsidP="009A4B77">
      <w:pPr>
        <w:pStyle w:val="Nagwek1"/>
        <w:numPr>
          <w:ilvl w:val="0"/>
          <w:numId w:val="123"/>
        </w:numPr>
        <w:rPr>
          <w:rFonts w:ascii="Times New Roman" w:hAnsi="Times New Roman" w:cs="Times New Roman"/>
          <w:b/>
          <w:bCs/>
          <w:color w:val="0070C0"/>
          <w:sz w:val="28"/>
          <w:szCs w:val="28"/>
        </w:rPr>
      </w:pPr>
      <w:bookmarkStart w:id="22" w:name="_Hlk119634985"/>
      <w:r w:rsidRPr="004E07DD">
        <w:rPr>
          <w:rFonts w:ascii="Times New Roman" w:hAnsi="Times New Roman" w:cs="Times New Roman"/>
          <w:b/>
          <w:bCs/>
          <w:color w:val="0070C0"/>
          <w:sz w:val="28"/>
          <w:szCs w:val="28"/>
        </w:rPr>
        <w:lastRenderedPageBreak/>
        <w:t>Wizja rozwoju Miasta i Gminy Góra Kalwaria w perspektywie 2030</w:t>
      </w:r>
    </w:p>
    <w:bookmarkEnd w:id="22"/>
    <w:p w14:paraId="159D6160" w14:textId="51AD579F" w:rsidR="00F9782E" w:rsidRDefault="00F9782E" w:rsidP="00F9782E"/>
    <w:p w14:paraId="0B6CDFC7" w14:textId="0CFB597C" w:rsidR="00034862" w:rsidRDefault="00DE312D" w:rsidP="00DE312D">
      <w:pPr>
        <w:jc w:val="both"/>
        <w:rPr>
          <w:rFonts w:ascii="Times New Roman" w:hAnsi="Times New Roman" w:cs="Times New Roman"/>
          <w:sz w:val="24"/>
          <w:szCs w:val="24"/>
        </w:rPr>
      </w:pPr>
      <w:r w:rsidRPr="00DE312D">
        <w:rPr>
          <w:rFonts w:ascii="Times New Roman" w:hAnsi="Times New Roman" w:cs="Times New Roman"/>
          <w:sz w:val="24"/>
          <w:szCs w:val="24"/>
        </w:rPr>
        <w:t xml:space="preserve">Wizja </w:t>
      </w:r>
      <w:r>
        <w:rPr>
          <w:rFonts w:ascii="Times New Roman" w:hAnsi="Times New Roman" w:cs="Times New Roman"/>
          <w:sz w:val="24"/>
          <w:szCs w:val="24"/>
        </w:rPr>
        <w:t xml:space="preserve">jest </w:t>
      </w:r>
      <w:r w:rsidRPr="00DE312D">
        <w:rPr>
          <w:rFonts w:ascii="Times New Roman" w:hAnsi="Times New Roman" w:cs="Times New Roman"/>
          <w:sz w:val="24"/>
          <w:szCs w:val="24"/>
        </w:rPr>
        <w:t xml:space="preserve">to docelowy, pożądany stan rozwoju jaki ma zostać osiągnięty na skutek realizacji Strategii. </w:t>
      </w:r>
      <w:r>
        <w:rPr>
          <w:rFonts w:ascii="Times New Roman" w:hAnsi="Times New Roman" w:cs="Times New Roman"/>
          <w:sz w:val="24"/>
          <w:szCs w:val="24"/>
        </w:rPr>
        <w:t>To swoiste</w:t>
      </w:r>
      <w:r w:rsidRPr="00DE312D">
        <w:rPr>
          <w:rFonts w:ascii="Times New Roman" w:hAnsi="Times New Roman" w:cs="Times New Roman"/>
          <w:sz w:val="24"/>
          <w:szCs w:val="24"/>
        </w:rPr>
        <w:t xml:space="preserve"> „serce strategii”</w:t>
      </w:r>
      <w:r>
        <w:rPr>
          <w:rFonts w:ascii="Times New Roman" w:hAnsi="Times New Roman" w:cs="Times New Roman"/>
          <w:sz w:val="24"/>
          <w:szCs w:val="24"/>
        </w:rPr>
        <w:t>, ponieważ</w:t>
      </w:r>
      <w:r w:rsidRPr="00DE312D">
        <w:rPr>
          <w:rFonts w:ascii="Times New Roman" w:hAnsi="Times New Roman" w:cs="Times New Roman"/>
          <w:sz w:val="24"/>
          <w:szCs w:val="24"/>
        </w:rPr>
        <w:t xml:space="preserve"> wskazuje na ambicje rozwojowe, plany na najbliższą przyszłość oraz te aspekty, które są kluczowe dla </w:t>
      </w:r>
      <w:r>
        <w:rPr>
          <w:rFonts w:ascii="Times New Roman" w:hAnsi="Times New Roman" w:cs="Times New Roman"/>
          <w:sz w:val="24"/>
          <w:szCs w:val="24"/>
        </w:rPr>
        <w:t xml:space="preserve">różnych grup </w:t>
      </w:r>
      <w:r w:rsidRPr="00DE312D">
        <w:rPr>
          <w:rFonts w:ascii="Times New Roman" w:hAnsi="Times New Roman" w:cs="Times New Roman"/>
          <w:sz w:val="24"/>
          <w:szCs w:val="24"/>
        </w:rPr>
        <w:t xml:space="preserve">interesariuszy.  Wychodząc z tego złożenia metodą </w:t>
      </w:r>
      <w:r>
        <w:rPr>
          <w:rFonts w:ascii="Times New Roman" w:hAnsi="Times New Roman" w:cs="Times New Roman"/>
          <w:sz w:val="24"/>
          <w:szCs w:val="24"/>
        </w:rPr>
        <w:t xml:space="preserve">partycypacyjna w czasie pracy warsztatowej sformułowano </w:t>
      </w:r>
      <w:r w:rsidR="00B94438">
        <w:rPr>
          <w:rFonts w:ascii="Times New Roman" w:hAnsi="Times New Roman" w:cs="Times New Roman"/>
          <w:sz w:val="24"/>
          <w:szCs w:val="24"/>
        </w:rPr>
        <w:t xml:space="preserve">następującą </w:t>
      </w:r>
      <w:r>
        <w:rPr>
          <w:rFonts w:ascii="Times New Roman" w:hAnsi="Times New Roman" w:cs="Times New Roman"/>
          <w:sz w:val="24"/>
          <w:szCs w:val="24"/>
        </w:rPr>
        <w:t>wizję</w:t>
      </w:r>
      <w:r w:rsidR="00034862">
        <w:rPr>
          <w:rFonts w:ascii="Times New Roman" w:hAnsi="Times New Roman" w:cs="Times New Roman"/>
          <w:sz w:val="24"/>
          <w:szCs w:val="24"/>
        </w:rPr>
        <w:t xml:space="preserve">. </w:t>
      </w:r>
    </w:p>
    <w:tbl>
      <w:tblPr>
        <w:tblStyle w:val="Tabela-Siatka"/>
        <w:tblW w:w="0" w:type="auto"/>
        <w:shd w:val="clear" w:color="auto" w:fill="D9E2F3" w:themeFill="accent1" w:themeFillTint="33"/>
        <w:tblLook w:val="04A0" w:firstRow="1" w:lastRow="0" w:firstColumn="1" w:lastColumn="0" w:noHBand="0" w:noVBand="1"/>
      </w:tblPr>
      <w:tblGrid>
        <w:gridCol w:w="9062"/>
      </w:tblGrid>
      <w:tr w:rsidR="00034862" w14:paraId="228930E5" w14:textId="77777777" w:rsidTr="00034862">
        <w:tc>
          <w:tcPr>
            <w:tcW w:w="9062" w:type="dxa"/>
            <w:shd w:val="clear" w:color="auto" w:fill="D9E2F3" w:themeFill="accent1" w:themeFillTint="33"/>
          </w:tcPr>
          <w:p w14:paraId="41CEE475" w14:textId="77777777" w:rsidR="00034862" w:rsidRDefault="00034862" w:rsidP="00DE312D">
            <w:pPr>
              <w:jc w:val="both"/>
              <w:rPr>
                <w:rFonts w:ascii="Times New Roman" w:hAnsi="Times New Roman" w:cs="Times New Roman"/>
                <w:sz w:val="24"/>
                <w:szCs w:val="24"/>
              </w:rPr>
            </w:pPr>
          </w:p>
          <w:p w14:paraId="3796DA93" w14:textId="77777777"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Miasto i Gmina Góra Kalwaria w 2030 roku jest gminą:</w:t>
            </w:r>
          </w:p>
          <w:p w14:paraId="314C12A5" w14:textId="77777777"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gotową na zmiany,</w:t>
            </w:r>
          </w:p>
          <w:p w14:paraId="4E74043B" w14:textId="77777777"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reagującą na wyzwania płynące z otoczenia i wnętrza gminy,</w:t>
            </w:r>
          </w:p>
          <w:p w14:paraId="53D31F6D" w14:textId="21A4AB3D"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wychodzącą naprzeciw potrzebom mieszkańców i lokalnej gospodarki</w:t>
            </w:r>
            <w:r w:rsidR="00B94438">
              <w:rPr>
                <w:rFonts w:ascii="Times New Roman" w:hAnsi="Times New Roman" w:cs="Times New Roman"/>
                <w:b/>
                <w:bCs/>
                <w:sz w:val="24"/>
                <w:szCs w:val="24"/>
              </w:rPr>
              <w:t>,</w:t>
            </w:r>
          </w:p>
          <w:p w14:paraId="65698A30" w14:textId="24E4A331"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rozwijając</w:t>
            </w:r>
            <w:r>
              <w:rPr>
                <w:rFonts w:ascii="Times New Roman" w:hAnsi="Times New Roman" w:cs="Times New Roman"/>
                <w:b/>
                <w:bCs/>
                <w:sz w:val="24"/>
                <w:szCs w:val="24"/>
              </w:rPr>
              <w:t>ą</w:t>
            </w:r>
            <w:r w:rsidRPr="00034862">
              <w:rPr>
                <w:rFonts w:ascii="Times New Roman" w:hAnsi="Times New Roman" w:cs="Times New Roman"/>
                <w:b/>
                <w:bCs/>
                <w:sz w:val="24"/>
                <w:szCs w:val="24"/>
              </w:rPr>
              <w:t xml:space="preserve"> się w sposób zrównoważony.</w:t>
            </w:r>
          </w:p>
          <w:p w14:paraId="1CE73B5E" w14:textId="4F184A38" w:rsidR="00034862" w:rsidRPr="00034862" w:rsidRDefault="00034862" w:rsidP="00034862">
            <w:pPr>
              <w:spacing w:line="360" w:lineRule="auto"/>
              <w:jc w:val="center"/>
              <w:rPr>
                <w:rFonts w:ascii="Times New Roman" w:hAnsi="Times New Roman" w:cs="Times New Roman"/>
                <w:b/>
                <w:bCs/>
                <w:sz w:val="24"/>
                <w:szCs w:val="24"/>
              </w:rPr>
            </w:pPr>
            <w:r w:rsidRPr="00034862">
              <w:rPr>
                <w:rFonts w:ascii="Times New Roman" w:hAnsi="Times New Roman" w:cs="Times New Roman"/>
                <w:b/>
                <w:bCs/>
                <w:sz w:val="24"/>
                <w:szCs w:val="24"/>
              </w:rPr>
              <w:t>To dobre miejsce do życia</w:t>
            </w:r>
            <w:r>
              <w:rPr>
                <w:rFonts w:ascii="Times New Roman" w:hAnsi="Times New Roman" w:cs="Times New Roman"/>
                <w:b/>
                <w:bCs/>
                <w:sz w:val="24"/>
                <w:szCs w:val="24"/>
              </w:rPr>
              <w:t>!</w:t>
            </w:r>
          </w:p>
          <w:p w14:paraId="712493A6" w14:textId="77777777" w:rsidR="00034862" w:rsidRDefault="00034862" w:rsidP="00034862">
            <w:pPr>
              <w:spacing w:line="360" w:lineRule="auto"/>
              <w:jc w:val="both"/>
              <w:rPr>
                <w:rFonts w:ascii="Times New Roman" w:hAnsi="Times New Roman" w:cs="Times New Roman"/>
                <w:sz w:val="24"/>
                <w:szCs w:val="24"/>
              </w:rPr>
            </w:pPr>
          </w:p>
          <w:p w14:paraId="27F2A3F8" w14:textId="36583636" w:rsidR="00034862" w:rsidRDefault="00034862" w:rsidP="00DE312D">
            <w:pPr>
              <w:jc w:val="both"/>
              <w:rPr>
                <w:rFonts w:ascii="Times New Roman" w:hAnsi="Times New Roman" w:cs="Times New Roman"/>
                <w:sz w:val="24"/>
                <w:szCs w:val="24"/>
              </w:rPr>
            </w:pPr>
          </w:p>
        </w:tc>
      </w:tr>
    </w:tbl>
    <w:p w14:paraId="35256B44" w14:textId="30320EC1" w:rsidR="00D050FE" w:rsidRDefault="00DE312D" w:rsidP="00DE312D">
      <w:pPr>
        <w:jc w:val="both"/>
        <w:rPr>
          <w:rFonts w:ascii="Times New Roman" w:hAnsi="Times New Roman" w:cs="Times New Roman"/>
          <w:sz w:val="24"/>
          <w:szCs w:val="24"/>
        </w:rPr>
      </w:pPr>
      <w:r>
        <w:rPr>
          <w:rFonts w:ascii="Times New Roman" w:hAnsi="Times New Roman" w:cs="Times New Roman"/>
          <w:sz w:val="24"/>
          <w:szCs w:val="24"/>
        </w:rPr>
        <w:t xml:space="preserve"> </w:t>
      </w:r>
    </w:p>
    <w:p w14:paraId="09E99739" w14:textId="77777777" w:rsidR="00034862" w:rsidRDefault="00034862" w:rsidP="00DE312D">
      <w:pPr>
        <w:jc w:val="both"/>
        <w:rPr>
          <w:rFonts w:ascii="Times New Roman" w:hAnsi="Times New Roman" w:cs="Times New Roman"/>
          <w:sz w:val="24"/>
          <w:szCs w:val="24"/>
        </w:rPr>
      </w:pPr>
    </w:p>
    <w:p w14:paraId="0AC44E21" w14:textId="5BD4AD1B" w:rsidR="00061FDC" w:rsidRPr="004E07DD" w:rsidRDefault="00213798" w:rsidP="009A4B77">
      <w:pPr>
        <w:pStyle w:val="Nagwek1"/>
        <w:numPr>
          <w:ilvl w:val="0"/>
          <w:numId w:val="123"/>
        </w:numPr>
        <w:rPr>
          <w:rFonts w:ascii="Times New Roman" w:hAnsi="Times New Roman" w:cs="Times New Roman"/>
          <w:b/>
          <w:bCs/>
          <w:color w:val="0070C0"/>
          <w:sz w:val="28"/>
          <w:szCs w:val="28"/>
        </w:rPr>
      </w:pPr>
      <w:bookmarkStart w:id="23" w:name="_Hlk119635058"/>
      <w:r w:rsidRPr="004E07DD">
        <w:rPr>
          <w:rFonts w:ascii="Times New Roman" w:hAnsi="Times New Roman" w:cs="Times New Roman"/>
          <w:b/>
          <w:bCs/>
          <w:color w:val="0070C0"/>
          <w:sz w:val="28"/>
          <w:szCs w:val="28"/>
        </w:rPr>
        <w:t xml:space="preserve">Cele strategiczne rozwoju w wymiarze: społecznym, gospodarczym, infrastrukturalnym i środowiskowo-przestrzennym oraz kierunki działań </w:t>
      </w:r>
    </w:p>
    <w:bookmarkEnd w:id="23"/>
    <w:p w14:paraId="22DF545A" w14:textId="777351B2" w:rsidR="00061FDC" w:rsidRDefault="00061FDC" w:rsidP="00061FDC">
      <w:pPr>
        <w:rPr>
          <w:rFonts w:ascii="Times New Roman" w:hAnsi="Times New Roman" w:cs="Times New Roman"/>
        </w:rPr>
      </w:pPr>
    </w:p>
    <w:p w14:paraId="40E4C61B" w14:textId="64ABD981" w:rsidR="00DE312D" w:rsidRPr="00DE312D" w:rsidRDefault="00DE312D" w:rsidP="00DE312D">
      <w:pPr>
        <w:spacing w:after="0" w:line="276" w:lineRule="auto"/>
        <w:jc w:val="both"/>
        <w:rPr>
          <w:rFonts w:ascii="Times New Roman" w:hAnsi="Times New Roman" w:cs="Times New Roman"/>
          <w:sz w:val="24"/>
          <w:szCs w:val="24"/>
        </w:rPr>
      </w:pPr>
      <w:r w:rsidRPr="00DE312D">
        <w:rPr>
          <w:rFonts w:ascii="Times New Roman" w:hAnsi="Times New Roman" w:cs="Times New Roman"/>
          <w:sz w:val="24"/>
          <w:szCs w:val="24"/>
        </w:rPr>
        <w:t>Zgodnie z definicją i metodologią budowania Strategii, zapisuje się w niej wybór ścieżki rozwoju, dlatego też cele strategiczne powinny być syntetyczne. Należy także pamiętać o zadaniach Strategii</w:t>
      </w:r>
      <w:r>
        <w:rPr>
          <w:rFonts w:ascii="Times New Roman" w:hAnsi="Times New Roman" w:cs="Times New Roman"/>
          <w:sz w:val="24"/>
          <w:szCs w:val="24"/>
        </w:rPr>
        <w:t xml:space="preserve"> jako dokumentu -</w:t>
      </w:r>
      <w:r w:rsidRPr="00DE312D">
        <w:rPr>
          <w:rFonts w:ascii="Times New Roman" w:hAnsi="Times New Roman" w:cs="Times New Roman"/>
          <w:sz w:val="24"/>
          <w:szCs w:val="24"/>
        </w:rPr>
        <w:t xml:space="preserve"> jej poziom szczegółowości powinien dotyczyć kierunków rozwoju (a nie konkretnych działań, projektów – to zadania programów, planów). Takie podejście </w:t>
      </w:r>
      <w:r>
        <w:rPr>
          <w:rFonts w:ascii="Times New Roman" w:hAnsi="Times New Roman" w:cs="Times New Roman"/>
          <w:sz w:val="24"/>
          <w:szCs w:val="24"/>
        </w:rPr>
        <w:t xml:space="preserve">jest </w:t>
      </w:r>
      <w:r w:rsidRPr="00DE312D">
        <w:rPr>
          <w:rFonts w:ascii="Times New Roman" w:hAnsi="Times New Roman" w:cs="Times New Roman"/>
          <w:sz w:val="24"/>
          <w:szCs w:val="24"/>
        </w:rPr>
        <w:t>zgodne z zaleceniami Poradnika. Dlatego w toku dyskusji eksperckich, analizując dotychczasowe czynniki rozwoju oraz osiągnięte w ostatnich latach wskaźniki rozwoju społeczno-gospodarczego gminy, uznano za zasadne opracowanie strategii mini-maksi. Ten typ strategii charakteryzuje przezwyciężanie słabości (</w:t>
      </w:r>
      <w:r>
        <w:rPr>
          <w:rFonts w:ascii="Times New Roman" w:hAnsi="Times New Roman" w:cs="Times New Roman"/>
          <w:sz w:val="24"/>
          <w:szCs w:val="24"/>
        </w:rPr>
        <w:t>barier, problemów</w:t>
      </w:r>
      <w:r w:rsidRPr="00DE312D">
        <w:rPr>
          <w:rFonts w:ascii="Times New Roman" w:hAnsi="Times New Roman" w:cs="Times New Roman"/>
          <w:sz w:val="24"/>
          <w:szCs w:val="24"/>
        </w:rPr>
        <w:t>)</w:t>
      </w:r>
      <w:r>
        <w:rPr>
          <w:rFonts w:ascii="Times New Roman" w:hAnsi="Times New Roman" w:cs="Times New Roman"/>
          <w:sz w:val="24"/>
          <w:szCs w:val="24"/>
        </w:rPr>
        <w:t xml:space="preserve">, przy równoczesnym </w:t>
      </w:r>
      <w:r w:rsidRPr="00DE312D">
        <w:rPr>
          <w:rFonts w:ascii="Times New Roman" w:hAnsi="Times New Roman" w:cs="Times New Roman"/>
          <w:sz w:val="24"/>
          <w:szCs w:val="24"/>
        </w:rPr>
        <w:t>wykorzysta</w:t>
      </w:r>
      <w:r>
        <w:rPr>
          <w:rFonts w:ascii="Times New Roman" w:hAnsi="Times New Roman" w:cs="Times New Roman"/>
          <w:sz w:val="24"/>
          <w:szCs w:val="24"/>
        </w:rPr>
        <w:t xml:space="preserve">niu </w:t>
      </w:r>
      <w:r w:rsidRPr="00DE312D">
        <w:rPr>
          <w:rFonts w:ascii="Times New Roman" w:hAnsi="Times New Roman" w:cs="Times New Roman"/>
          <w:sz w:val="24"/>
          <w:szCs w:val="24"/>
        </w:rPr>
        <w:t xml:space="preserve">szans. </w:t>
      </w:r>
    </w:p>
    <w:p w14:paraId="2BFC2093" w14:textId="458C4D82" w:rsidR="00DE312D" w:rsidRPr="00DE312D" w:rsidRDefault="00DE312D" w:rsidP="00DE312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Osiągnięcie pożądanego s</w:t>
      </w:r>
      <w:r w:rsidRPr="00DE312D">
        <w:rPr>
          <w:rFonts w:ascii="Times New Roman" w:hAnsi="Times New Roman" w:cs="Times New Roman"/>
          <w:sz w:val="24"/>
          <w:szCs w:val="24"/>
        </w:rPr>
        <w:t>tan</w:t>
      </w:r>
      <w:r>
        <w:rPr>
          <w:rFonts w:ascii="Times New Roman" w:hAnsi="Times New Roman" w:cs="Times New Roman"/>
          <w:sz w:val="24"/>
          <w:szCs w:val="24"/>
        </w:rPr>
        <w:t>u</w:t>
      </w:r>
      <w:r w:rsidRPr="00DE312D">
        <w:rPr>
          <w:rFonts w:ascii="Times New Roman" w:hAnsi="Times New Roman" w:cs="Times New Roman"/>
          <w:sz w:val="24"/>
          <w:szCs w:val="24"/>
        </w:rPr>
        <w:t xml:space="preserve"> docelow</w:t>
      </w:r>
      <w:r>
        <w:rPr>
          <w:rFonts w:ascii="Times New Roman" w:hAnsi="Times New Roman" w:cs="Times New Roman"/>
          <w:sz w:val="24"/>
          <w:szCs w:val="24"/>
        </w:rPr>
        <w:t>ego</w:t>
      </w:r>
      <w:r w:rsidRPr="00DE312D">
        <w:rPr>
          <w:rFonts w:ascii="Times New Roman" w:hAnsi="Times New Roman" w:cs="Times New Roman"/>
          <w:sz w:val="24"/>
          <w:szCs w:val="24"/>
        </w:rPr>
        <w:t xml:space="preserve"> rozwoju lokalnego będzie możliw</w:t>
      </w:r>
      <w:r>
        <w:rPr>
          <w:rFonts w:ascii="Times New Roman" w:hAnsi="Times New Roman" w:cs="Times New Roman"/>
          <w:sz w:val="24"/>
          <w:szCs w:val="24"/>
        </w:rPr>
        <w:t>e</w:t>
      </w:r>
      <w:r w:rsidRPr="00DE312D">
        <w:rPr>
          <w:rFonts w:ascii="Times New Roman" w:hAnsi="Times New Roman" w:cs="Times New Roman"/>
          <w:sz w:val="24"/>
          <w:szCs w:val="24"/>
        </w:rPr>
        <w:t xml:space="preserve"> do osiągnięcia dzięki realizacji poszczególnych celów</w:t>
      </w:r>
      <w:r>
        <w:rPr>
          <w:rFonts w:ascii="Times New Roman" w:hAnsi="Times New Roman" w:cs="Times New Roman"/>
          <w:sz w:val="24"/>
          <w:szCs w:val="24"/>
        </w:rPr>
        <w:t xml:space="preserve"> (inaczej </w:t>
      </w:r>
      <w:r w:rsidRPr="00DE312D">
        <w:rPr>
          <w:rFonts w:ascii="Times New Roman" w:hAnsi="Times New Roman" w:cs="Times New Roman"/>
          <w:sz w:val="24"/>
          <w:szCs w:val="24"/>
        </w:rPr>
        <w:t>kroków</w:t>
      </w:r>
      <w:r>
        <w:rPr>
          <w:rFonts w:ascii="Times New Roman" w:hAnsi="Times New Roman" w:cs="Times New Roman"/>
          <w:sz w:val="24"/>
          <w:szCs w:val="24"/>
        </w:rPr>
        <w:t>, etapów działań)</w:t>
      </w:r>
      <w:r w:rsidRPr="00DE312D">
        <w:rPr>
          <w:rFonts w:ascii="Times New Roman" w:hAnsi="Times New Roman" w:cs="Times New Roman"/>
          <w:sz w:val="24"/>
          <w:szCs w:val="24"/>
        </w:rPr>
        <w:t xml:space="preserve"> zapisanych w </w:t>
      </w:r>
      <w:r>
        <w:rPr>
          <w:rFonts w:ascii="Times New Roman" w:hAnsi="Times New Roman" w:cs="Times New Roman"/>
          <w:sz w:val="24"/>
          <w:szCs w:val="24"/>
        </w:rPr>
        <w:t>sformułowanych</w:t>
      </w:r>
      <w:r w:rsidRPr="00DE312D">
        <w:rPr>
          <w:rFonts w:ascii="Times New Roman" w:hAnsi="Times New Roman" w:cs="Times New Roman"/>
          <w:sz w:val="24"/>
          <w:szCs w:val="24"/>
        </w:rPr>
        <w:t>:</w:t>
      </w:r>
    </w:p>
    <w:p w14:paraId="027A745C" w14:textId="5519226D" w:rsidR="00DE312D" w:rsidRPr="00DE312D" w:rsidRDefault="00DE312D">
      <w:pPr>
        <w:numPr>
          <w:ilvl w:val="0"/>
          <w:numId w:val="102"/>
        </w:numPr>
        <w:spacing w:after="0" w:line="276" w:lineRule="auto"/>
        <w:jc w:val="both"/>
        <w:rPr>
          <w:rFonts w:ascii="Times New Roman" w:hAnsi="Times New Roman" w:cs="Times New Roman"/>
          <w:sz w:val="24"/>
          <w:szCs w:val="24"/>
        </w:rPr>
      </w:pPr>
      <w:r w:rsidRPr="00B94438">
        <w:rPr>
          <w:rFonts w:ascii="Times New Roman" w:hAnsi="Times New Roman" w:cs="Times New Roman"/>
          <w:b/>
          <w:bCs/>
          <w:sz w:val="24"/>
          <w:szCs w:val="24"/>
        </w:rPr>
        <w:t>celach strategicznych</w:t>
      </w:r>
      <w:r w:rsidRPr="00DE312D">
        <w:rPr>
          <w:rFonts w:ascii="Times New Roman" w:hAnsi="Times New Roman" w:cs="Times New Roman"/>
          <w:sz w:val="24"/>
          <w:szCs w:val="24"/>
        </w:rPr>
        <w:t xml:space="preserve"> - sformułowano ich </w:t>
      </w:r>
      <w:r w:rsidR="000915EA">
        <w:rPr>
          <w:rFonts w:ascii="Times New Roman" w:hAnsi="Times New Roman" w:cs="Times New Roman"/>
          <w:sz w:val="24"/>
          <w:szCs w:val="24"/>
        </w:rPr>
        <w:t xml:space="preserve">cztery; </w:t>
      </w:r>
      <w:r w:rsidR="00B94438">
        <w:rPr>
          <w:rFonts w:ascii="Times New Roman" w:hAnsi="Times New Roman" w:cs="Times New Roman"/>
          <w:sz w:val="24"/>
          <w:szCs w:val="24"/>
        </w:rPr>
        <w:t xml:space="preserve">Gmina dostępna; Gmina atrakcyjna dla mieszkańców i turystów; Gmina nowocześnie zarządzana; Gmina reagująca na wyzwania;  </w:t>
      </w:r>
    </w:p>
    <w:p w14:paraId="2ECE8F71" w14:textId="0EFD9368" w:rsidR="00DE312D" w:rsidRPr="00DE312D" w:rsidRDefault="00DE312D">
      <w:pPr>
        <w:numPr>
          <w:ilvl w:val="0"/>
          <w:numId w:val="102"/>
        </w:numPr>
        <w:spacing w:after="0" w:line="276" w:lineRule="auto"/>
        <w:jc w:val="both"/>
        <w:rPr>
          <w:rFonts w:ascii="Times New Roman" w:hAnsi="Times New Roman" w:cs="Times New Roman"/>
          <w:sz w:val="24"/>
          <w:szCs w:val="24"/>
        </w:rPr>
      </w:pPr>
      <w:r w:rsidRPr="00B94438">
        <w:rPr>
          <w:rFonts w:ascii="Times New Roman" w:hAnsi="Times New Roman" w:cs="Times New Roman"/>
          <w:b/>
          <w:bCs/>
          <w:sz w:val="24"/>
          <w:szCs w:val="24"/>
        </w:rPr>
        <w:lastRenderedPageBreak/>
        <w:t>celach operacyjnych</w:t>
      </w:r>
      <w:r w:rsidRPr="00DE312D">
        <w:rPr>
          <w:rFonts w:ascii="Times New Roman" w:hAnsi="Times New Roman" w:cs="Times New Roman"/>
          <w:sz w:val="24"/>
          <w:szCs w:val="24"/>
        </w:rPr>
        <w:t xml:space="preserve">, które sformułowane są w ramach każdego celu strategicznego – sformułowano </w:t>
      </w:r>
      <w:r w:rsidR="000915EA">
        <w:rPr>
          <w:rFonts w:ascii="Times New Roman" w:hAnsi="Times New Roman" w:cs="Times New Roman"/>
          <w:sz w:val="24"/>
          <w:szCs w:val="24"/>
        </w:rPr>
        <w:t>od</w:t>
      </w:r>
      <w:r w:rsidRPr="00DE312D">
        <w:rPr>
          <w:rFonts w:ascii="Times New Roman" w:hAnsi="Times New Roman" w:cs="Times New Roman"/>
          <w:sz w:val="24"/>
          <w:szCs w:val="24"/>
        </w:rPr>
        <w:t xml:space="preserve"> dw</w:t>
      </w:r>
      <w:r w:rsidR="000915EA">
        <w:rPr>
          <w:rFonts w:ascii="Times New Roman" w:hAnsi="Times New Roman" w:cs="Times New Roman"/>
          <w:sz w:val="24"/>
          <w:szCs w:val="24"/>
        </w:rPr>
        <w:t xml:space="preserve">óch do czterech </w:t>
      </w:r>
      <w:r w:rsidRPr="00DE312D">
        <w:rPr>
          <w:rFonts w:ascii="Times New Roman" w:hAnsi="Times New Roman" w:cs="Times New Roman"/>
          <w:sz w:val="24"/>
          <w:szCs w:val="24"/>
        </w:rPr>
        <w:t xml:space="preserve"> cel</w:t>
      </w:r>
      <w:r w:rsidR="000915EA">
        <w:rPr>
          <w:rFonts w:ascii="Times New Roman" w:hAnsi="Times New Roman" w:cs="Times New Roman"/>
          <w:sz w:val="24"/>
          <w:szCs w:val="24"/>
        </w:rPr>
        <w:t>ów</w:t>
      </w:r>
      <w:r w:rsidRPr="00DE312D">
        <w:rPr>
          <w:rFonts w:ascii="Times New Roman" w:hAnsi="Times New Roman" w:cs="Times New Roman"/>
          <w:sz w:val="24"/>
          <w:szCs w:val="24"/>
        </w:rPr>
        <w:t xml:space="preserve"> operacyjn</w:t>
      </w:r>
      <w:r w:rsidR="000915EA">
        <w:rPr>
          <w:rFonts w:ascii="Times New Roman" w:hAnsi="Times New Roman" w:cs="Times New Roman"/>
          <w:sz w:val="24"/>
          <w:szCs w:val="24"/>
        </w:rPr>
        <w:t>ych</w:t>
      </w:r>
      <w:r w:rsidRPr="00DE312D">
        <w:rPr>
          <w:rFonts w:ascii="Times New Roman" w:hAnsi="Times New Roman" w:cs="Times New Roman"/>
          <w:sz w:val="24"/>
          <w:szCs w:val="24"/>
        </w:rPr>
        <w:t xml:space="preserve"> w ramach każdego celu strategicznego; </w:t>
      </w:r>
    </w:p>
    <w:p w14:paraId="4561A75D" w14:textId="77777777" w:rsidR="00DE312D" w:rsidRPr="00DE312D" w:rsidRDefault="00DE312D">
      <w:pPr>
        <w:numPr>
          <w:ilvl w:val="0"/>
          <w:numId w:val="102"/>
        </w:numPr>
        <w:spacing w:after="0" w:line="276" w:lineRule="auto"/>
        <w:jc w:val="both"/>
        <w:rPr>
          <w:rFonts w:ascii="Times New Roman" w:hAnsi="Times New Roman" w:cs="Times New Roman"/>
          <w:sz w:val="24"/>
          <w:szCs w:val="24"/>
        </w:rPr>
      </w:pPr>
      <w:r w:rsidRPr="00DE312D">
        <w:rPr>
          <w:rFonts w:ascii="Times New Roman" w:hAnsi="Times New Roman" w:cs="Times New Roman"/>
          <w:sz w:val="24"/>
          <w:szCs w:val="24"/>
        </w:rPr>
        <w:t xml:space="preserve">oraz umożliwiających ich realizację </w:t>
      </w:r>
      <w:r w:rsidRPr="00B94438">
        <w:rPr>
          <w:rFonts w:ascii="Times New Roman" w:hAnsi="Times New Roman" w:cs="Times New Roman"/>
          <w:b/>
          <w:bCs/>
          <w:sz w:val="24"/>
          <w:szCs w:val="24"/>
        </w:rPr>
        <w:t>kierunkach działań</w:t>
      </w:r>
      <w:r w:rsidRPr="00DE312D">
        <w:rPr>
          <w:rFonts w:ascii="Times New Roman" w:hAnsi="Times New Roman" w:cs="Times New Roman"/>
          <w:sz w:val="24"/>
          <w:szCs w:val="24"/>
        </w:rPr>
        <w:t xml:space="preserve">  - kierunki zostały przypisane do poszczególnych celów operacyjnych.</w:t>
      </w:r>
    </w:p>
    <w:p w14:paraId="73BBD63E" w14:textId="1318C527" w:rsidR="00DE312D" w:rsidRDefault="00DE312D" w:rsidP="00DE312D">
      <w:pPr>
        <w:spacing w:after="0" w:line="276" w:lineRule="auto"/>
        <w:jc w:val="both"/>
        <w:rPr>
          <w:rFonts w:ascii="Times New Roman" w:hAnsi="Times New Roman" w:cs="Times New Roman"/>
          <w:sz w:val="24"/>
          <w:szCs w:val="24"/>
        </w:rPr>
      </w:pPr>
      <w:r w:rsidRPr="00DE312D">
        <w:rPr>
          <w:rFonts w:ascii="Times New Roman" w:hAnsi="Times New Roman" w:cs="Times New Roman"/>
          <w:sz w:val="24"/>
          <w:szCs w:val="24"/>
        </w:rPr>
        <w:t xml:space="preserve">Zapisane w ten sposób cele i kierunki działań tworzą hierarchię strategicznych zamierzeń </w:t>
      </w:r>
      <w:r w:rsidRPr="000915EA">
        <w:rPr>
          <w:rFonts w:ascii="Times New Roman" w:hAnsi="Times New Roman" w:cs="Times New Roman"/>
          <w:sz w:val="24"/>
          <w:szCs w:val="24"/>
        </w:rPr>
        <w:t>Gminy</w:t>
      </w:r>
      <w:r w:rsidR="00624316" w:rsidRPr="000915EA">
        <w:rPr>
          <w:rFonts w:ascii="Times New Roman" w:hAnsi="Times New Roman" w:cs="Times New Roman"/>
          <w:sz w:val="24"/>
          <w:szCs w:val="24"/>
        </w:rPr>
        <w:t xml:space="preserve"> (tabela </w:t>
      </w:r>
      <w:r w:rsidR="004E07DD" w:rsidRPr="000915EA">
        <w:rPr>
          <w:rFonts w:ascii="Times New Roman" w:hAnsi="Times New Roman" w:cs="Times New Roman"/>
          <w:sz w:val="24"/>
          <w:szCs w:val="24"/>
        </w:rPr>
        <w:t>2</w:t>
      </w:r>
      <w:r w:rsidR="00624316" w:rsidRPr="000915EA">
        <w:rPr>
          <w:rFonts w:ascii="Times New Roman" w:hAnsi="Times New Roman" w:cs="Times New Roman"/>
          <w:sz w:val="24"/>
          <w:szCs w:val="24"/>
        </w:rPr>
        <w:t>)</w:t>
      </w:r>
      <w:r w:rsidRPr="000915EA">
        <w:rPr>
          <w:rFonts w:ascii="Times New Roman" w:hAnsi="Times New Roman" w:cs="Times New Roman"/>
          <w:sz w:val="24"/>
          <w:szCs w:val="24"/>
        </w:rPr>
        <w:t>.</w:t>
      </w:r>
      <w:r>
        <w:rPr>
          <w:rFonts w:ascii="Times New Roman" w:hAnsi="Times New Roman" w:cs="Times New Roman"/>
          <w:sz w:val="24"/>
          <w:szCs w:val="24"/>
        </w:rPr>
        <w:t xml:space="preserve">  </w:t>
      </w:r>
    </w:p>
    <w:p w14:paraId="2AA7D2BE" w14:textId="034C9EAA" w:rsidR="00624316" w:rsidRDefault="00624316" w:rsidP="00DE312D">
      <w:pPr>
        <w:spacing w:after="0" w:line="276" w:lineRule="auto"/>
        <w:jc w:val="both"/>
        <w:rPr>
          <w:rFonts w:ascii="Times New Roman" w:hAnsi="Times New Roman" w:cs="Times New Roman"/>
          <w:sz w:val="24"/>
          <w:szCs w:val="24"/>
        </w:rPr>
      </w:pPr>
    </w:p>
    <w:p w14:paraId="488750BD" w14:textId="6912F4AA" w:rsidR="00624316" w:rsidRDefault="00624316" w:rsidP="00DE312D">
      <w:pPr>
        <w:spacing w:after="0" w:line="276" w:lineRule="auto"/>
        <w:jc w:val="both"/>
        <w:rPr>
          <w:rFonts w:ascii="Times New Roman" w:hAnsi="Times New Roman" w:cs="Times New Roman"/>
          <w:sz w:val="24"/>
          <w:szCs w:val="24"/>
        </w:rPr>
      </w:pPr>
      <w:bookmarkStart w:id="24" w:name="_Hlk119635038"/>
      <w:r w:rsidRPr="000915EA">
        <w:rPr>
          <w:rFonts w:ascii="Times New Roman" w:hAnsi="Times New Roman" w:cs="Times New Roman"/>
          <w:sz w:val="24"/>
          <w:szCs w:val="24"/>
        </w:rPr>
        <w:t xml:space="preserve">Tabela </w:t>
      </w:r>
      <w:r w:rsidR="004E07DD" w:rsidRPr="000915EA">
        <w:rPr>
          <w:rFonts w:ascii="Times New Roman" w:hAnsi="Times New Roman" w:cs="Times New Roman"/>
          <w:sz w:val="24"/>
          <w:szCs w:val="24"/>
        </w:rPr>
        <w:t>2</w:t>
      </w:r>
      <w:r w:rsidRPr="000915EA">
        <w:rPr>
          <w:rFonts w:ascii="Times New Roman" w:hAnsi="Times New Roman" w:cs="Times New Roman"/>
          <w:sz w:val="24"/>
          <w:szCs w:val="24"/>
        </w:rPr>
        <w:t>.</w:t>
      </w:r>
      <w:r>
        <w:rPr>
          <w:rFonts w:ascii="Times New Roman" w:hAnsi="Times New Roman" w:cs="Times New Roman"/>
          <w:sz w:val="24"/>
          <w:szCs w:val="24"/>
        </w:rPr>
        <w:t xml:space="preserve"> Hierarchiczny układ celów i kierunków działań </w:t>
      </w:r>
      <w:bookmarkEnd w:id="24"/>
    </w:p>
    <w:tbl>
      <w:tblPr>
        <w:tblStyle w:val="Tabela-Siatka"/>
        <w:tblW w:w="0" w:type="auto"/>
        <w:tblLook w:val="04A0" w:firstRow="1" w:lastRow="0" w:firstColumn="1" w:lastColumn="0" w:noHBand="0" w:noVBand="1"/>
      </w:tblPr>
      <w:tblGrid>
        <w:gridCol w:w="3114"/>
        <w:gridCol w:w="5948"/>
      </w:tblGrid>
      <w:tr w:rsidR="00613FD0" w14:paraId="6F5BE9D9" w14:textId="77777777" w:rsidTr="00F27569">
        <w:tc>
          <w:tcPr>
            <w:tcW w:w="9062" w:type="dxa"/>
            <w:gridSpan w:val="2"/>
            <w:shd w:val="clear" w:color="auto" w:fill="D9E2F3" w:themeFill="accent1" w:themeFillTint="33"/>
          </w:tcPr>
          <w:p w14:paraId="62E7BD74" w14:textId="106216CE" w:rsidR="00613FD0" w:rsidRPr="00161F03" w:rsidRDefault="00613FD0" w:rsidP="00F27569">
            <w:pPr>
              <w:spacing w:line="276" w:lineRule="auto"/>
              <w:jc w:val="center"/>
              <w:rPr>
                <w:rFonts w:ascii="Times New Roman" w:hAnsi="Times New Roman" w:cs="Times New Roman"/>
                <w:b/>
                <w:bCs/>
                <w:sz w:val="24"/>
                <w:szCs w:val="24"/>
              </w:rPr>
            </w:pPr>
            <w:bookmarkStart w:id="25" w:name="_Hlk119633041"/>
            <w:r w:rsidRPr="00161F03">
              <w:rPr>
                <w:rFonts w:ascii="Times New Roman" w:hAnsi="Times New Roman" w:cs="Times New Roman"/>
                <w:b/>
                <w:bCs/>
                <w:sz w:val="24"/>
                <w:szCs w:val="24"/>
              </w:rPr>
              <w:t>Cel</w:t>
            </w:r>
            <w:r>
              <w:rPr>
                <w:rFonts w:ascii="Times New Roman" w:hAnsi="Times New Roman" w:cs="Times New Roman"/>
                <w:b/>
                <w:bCs/>
                <w:sz w:val="24"/>
                <w:szCs w:val="24"/>
              </w:rPr>
              <w:t xml:space="preserve"> </w:t>
            </w:r>
            <w:r w:rsidRPr="00613FD0">
              <w:rPr>
                <w:rFonts w:ascii="Times New Roman" w:hAnsi="Times New Roman" w:cs="Times New Roman"/>
                <w:b/>
                <w:bCs/>
                <w:sz w:val="24"/>
                <w:szCs w:val="24"/>
                <w:shd w:val="clear" w:color="auto" w:fill="D9E2F3" w:themeFill="accent1" w:themeFillTint="33"/>
              </w:rPr>
              <w:t>strategiczny: Gmina dostępna</w:t>
            </w:r>
          </w:p>
        </w:tc>
      </w:tr>
      <w:tr w:rsidR="00367B5B" w14:paraId="68B94CDA" w14:textId="77777777" w:rsidTr="00624485">
        <w:tc>
          <w:tcPr>
            <w:tcW w:w="3114" w:type="dxa"/>
            <w:shd w:val="clear" w:color="auto" w:fill="D9E2F3" w:themeFill="accent1" w:themeFillTint="33"/>
          </w:tcPr>
          <w:p w14:paraId="236D1972" w14:textId="5B56DA24" w:rsidR="00367B5B" w:rsidRPr="00161F03" w:rsidRDefault="00367B5B" w:rsidP="00DE312D">
            <w:pPr>
              <w:spacing w:line="276" w:lineRule="auto"/>
              <w:jc w:val="both"/>
              <w:rPr>
                <w:rFonts w:ascii="Times New Roman" w:hAnsi="Times New Roman" w:cs="Times New Roman"/>
                <w:b/>
                <w:bCs/>
                <w:sz w:val="24"/>
                <w:szCs w:val="24"/>
              </w:rPr>
            </w:pPr>
            <w:r w:rsidRPr="00161F03">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2B75FEB6" w14:textId="1FEC1416" w:rsidR="00367B5B" w:rsidRPr="00161F03" w:rsidRDefault="00367B5B" w:rsidP="00DE312D">
            <w:pPr>
              <w:spacing w:line="276" w:lineRule="auto"/>
              <w:jc w:val="both"/>
              <w:rPr>
                <w:rFonts w:ascii="Times New Roman" w:hAnsi="Times New Roman" w:cs="Times New Roman"/>
                <w:b/>
                <w:bCs/>
                <w:sz w:val="24"/>
                <w:szCs w:val="24"/>
              </w:rPr>
            </w:pPr>
            <w:r w:rsidRPr="00161F03">
              <w:rPr>
                <w:rFonts w:ascii="Times New Roman" w:hAnsi="Times New Roman" w:cs="Times New Roman"/>
                <w:b/>
                <w:bCs/>
                <w:sz w:val="24"/>
                <w:szCs w:val="24"/>
              </w:rPr>
              <w:t xml:space="preserve">Kierunki działań </w:t>
            </w:r>
          </w:p>
        </w:tc>
      </w:tr>
      <w:bookmarkEnd w:id="25"/>
      <w:tr w:rsidR="00367B5B" w:rsidRPr="00613FD0" w14:paraId="3C5C4A2E" w14:textId="77777777" w:rsidTr="00624485">
        <w:tc>
          <w:tcPr>
            <w:tcW w:w="3114" w:type="dxa"/>
          </w:tcPr>
          <w:p w14:paraId="7C51E9DD" w14:textId="4B189A1F" w:rsidR="00367B5B" w:rsidRPr="00F27569" w:rsidRDefault="00367B5B" w:rsidP="00F27569">
            <w:pPr>
              <w:spacing w:line="276" w:lineRule="auto"/>
              <w:rPr>
                <w:rFonts w:ascii="Times New Roman" w:hAnsi="Times New Roman" w:cs="Times New Roman"/>
                <w:b/>
                <w:bCs/>
                <w:sz w:val="24"/>
                <w:szCs w:val="24"/>
              </w:rPr>
            </w:pPr>
            <w:r w:rsidRPr="00F27569">
              <w:rPr>
                <w:rFonts w:ascii="Times New Roman" w:hAnsi="Times New Roman" w:cs="Times New Roman"/>
                <w:b/>
                <w:bCs/>
                <w:sz w:val="24"/>
                <w:szCs w:val="24"/>
              </w:rPr>
              <w:t xml:space="preserve">rozwój infrastruktury transportowej i zapewnienie mobilności </w:t>
            </w:r>
          </w:p>
        </w:tc>
        <w:tc>
          <w:tcPr>
            <w:tcW w:w="5948" w:type="dxa"/>
          </w:tcPr>
          <w:p w14:paraId="594B83E1" w14:textId="7E7704A8" w:rsidR="00367B5B" w:rsidRPr="00367B5B" w:rsidRDefault="00367B5B" w:rsidP="000B14C0">
            <w:pPr>
              <w:pStyle w:val="Akapitzlist"/>
              <w:numPr>
                <w:ilvl w:val="0"/>
                <w:numId w:val="109"/>
              </w:numPr>
              <w:spacing w:line="276" w:lineRule="auto"/>
              <w:jc w:val="both"/>
              <w:rPr>
                <w:rFonts w:ascii="Times New Roman" w:hAnsi="Times New Roman" w:cs="Times New Roman"/>
                <w:sz w:val="24"/>
                <w:szCs w:val="24"/>
              </w:rPr>
            </w:pPr>
            <w:r w:rsidRPr="00367B5B">
              <w:rPr>
                <w:rFonts w:ascii="Times New Roman" w:hAnsi="Times New Roman" w:cs="Times New Roman"/>
                <w:sz w:val="24"/>
                <w:szCs w:val="24"/>
              </w:rPr>
              <w:t xml:space="preserve">zwiększenie spójności w zakresie komunikacji wewnątrzgminnej (rozwój komunikacji publicznej,   zwiększenie długości i zasięgu ścieżek rowerowych); </w:t>
            </w:r>
          </w:p>
          <w:p w14:paraId="6D85AD75" w14:textId="667A216E" w:rsidR="00367B5B" w:rsidRPr="00F27569" w:rsidRDefault="00367B5B" w:rsidP="000B14C0">
            <w:pPr>
              <w:pStyle w:val="paragraph"/>
              <w:numPr>
                <w:ilvl w:val="0"/>
                <w:numId w:val="109"/>
              </w:numPr>
              <w:spacing w:before="0" w:beforeAutospacing="0" w:after="120" w:afterAutospacing="0" w:line="271" w:lineRule="auto"/>
            </w:pPr>
            <w:r w:rsidRPr="00613FD0">
              <w:t>budowanie zrównoważonej mobilności, szczególnie na terenie miasta (w tym elektromobilności) poprzez działania infrastrukturalne (np. stacje do ładowania pojazdów elektrycznych);</w:t>
            </w:r>
          </w:p>
        </w:tc>
      </w:tr>
      <w:tr w:rsidR="00367B5B" w:rsidRPr="00613FD0" w14:paraId="7E340CCD" w14:textId="77777777" w:rsidTr="00624485">
        <w:tc>
          <w:tcPr>
            <w:tcW w:w="3114" w:type="dxa"/>
          </w:tcPr>
          <w:p w14:paraId="1B2FE331" w14:textId="3E5C6CEE" w:rsidR="00367B5B" w:rsidRPr="00F27569" w:rsidRDefault="00367B5B" w:rsidP="00DE312D">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zapewnienie dostępu do Internetu wysokiej jakości na terenie całej gminy i podnoszenie kompetencji cyfrowych</w:t>
            </w:r>
          </w:p>
        </w:tc>
        <w:tc>
          <w:tcPr>
            <w:tcW w:w="5948" w:type="dxa"/>
          </w:tcPr>
          <w:p w14:paraId="1AB7DBC8" w14:textId="404A8E62" w:rsidR="00367B5B" w:rsidRPr="00F27569" w:rsidRDefault="00367B5B" w:rsidP="000B14C0">
            <w:pPr>
              <w:pStyle w:val="Akapitzlist"/>
              <w:numPr>
                <w:ilvl w:val="0"/>
                <w:numId w:val="110"/>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rozwój sieci Internetu jako kluczowej infrastruktury</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76908D25" w14:textId="074516D4" w:rsidR="00367B5B" w:rsidRPr="00F27569" w:rsidRDefault="00367B5B" w:rsidP="000B14C0">
            <w:pPr>
              <w:pStyle w:val="Akapitzlist"/>
              <w:numPr>
                <w:ilvl w:val="0"/>
                <w:numId w:val="110"/>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 xml:space="preserve">tworzenie na terenie gminy </w:t>
            </w:r>
            <w:r w:rsidR="006C1287">
              <w:rPr>
                <w:rFonts w:ascii="Times New Roman" w:hAnsi="Times New Roman" w:cs="Times New Roman"/>
                <w:sz w:val="24"/>
                <w:szCs w:val="24"/>
              </w:rPr>
              <w:t>miejsc dostępu do otwartego, bezpłatnego  Internetu</w:t>
            </w:r>
            <w:r w:rsidR="00B94438">
              <w:rPr>
                <w:rFonts w:ascii="Times New Roman" w:hAnsi="Times New Roman" w:cs="Times New Roman"/>
                <w:sz w:val="24"/>
                <w:szCs w:val="24"/>
              </w:rPr>
              <w:t>;</w:t>
            </w:r>
            <w:r w:rsidR="006C1287">
              <w:rPr>
                <w:rFonts w:ascii="Times New Roman" w:hAnsi="Times New Roman" w:cs="Times New Roman"/>
                <w:sz w:val="24"/>
                <w:szCs w:val="24"/>
              </w:rPr>
              <w:t xml:space="preserve"> </w:t>
            </w:r>
          </w:p>
          <w:p w14:paraId="172B965C" w14:textId="08680C81" w:rsidR="00367B5B" w:rsidRPr="00613FD0" w:rsidRDefault="00367B5B" w:rsidP="000B14C0">
            <w:pPr>
              <w:pStyle w:val="paragraph"/>
              <w:numPr>
                <w:ilvl w:val="0"/>
                <w:numId w:val="110"/>
              </w:numPr>
              <w:spacing w:before="0" w:beforeAutospacing="0" w:after="120" w:afterAutospacing="0" w:line="271" w:lineRule="auto"/>
            </w:pPr>
            <w:r w:rsidRPr="00613FD0">
              <w:t xml:space="preserve">wzmacnianie kompetencji cyfrowych wśród mieszkańców; </w:t>
            </w:r>
          </w:p>
        </w:tc>
      </w:tr>
      <w:tr w:rsidR="00367B5B" w:rsidRPr="00613FD0" w14:paraId="43A5A6D5" w14:textId="77777777" w:rsidTr="00F27569">
        <w:trPr>
          <w:trHeight w:val="552"/>
        </w:trPr>
        <w:tc>
          <w:tcPr>
            <w:tcW w:w="9062" w:type="dxa"/>
            <w:gridSpan w:val="2"/>
            <w:shd w:val="clear" w:color="auto" w:fill="D9E2F3" w:themeFill="accent1" w:themeFillTint="33"/>
          </w:tcPr>
          <w:p w14:paraId="472DD087" w14:textId="4688FD83" w:rsidR="00367B5B" w:rsidRPr="00613FD0" w:rsidRDefault="00367B5B" w:rsidP="00F27569">
            <w:pPr>
              <w:pStyle w:val="paragraph"/>
              <w:spacing w:before="0" w:beforeAutospacing="0" w:after="120" w:afterAutospacing="0" w:line="271" w:lineRule="auto"/>
              <w:jc w:val="center"/>
            </w:pPr>
            <w:r w:rsidRPr="00367B5B">
              <w:rPr>
                <w:b/>
                <w:bCs/>
              </w:rPr>
              <w:t>Cel strategiczny:  Gmina</w:t>
            </w:r>
            <w:r>
              <w:rPr>
                <w:b/>
                <w:bCs/>
              </w:rPr>
              <w:t xml:space="preserve"> </w:t>
            </w:r>
            <w:r w:rsidRPr="00613FD0">
              <w:rPr>
                <w:b/>
                <w:bCs/>
              </w:rPr>
              <w:t>atrakcyjna dla mieszkańców i turystów</w:t>
            </w:r>
          </w:p>
        </w:tc>
      </w:tr>
      <w:tr w:rsidR="00F27569" w:rsidRPr="00613FD0" w14:paraId="37262CED" w14:textId="77777777" w:rsidTr="00624485">
        <w:trPr>
          <w:trHeight w:val="500"/>
        </w:trPr>
        <w:tc>
          <w:tcPr>
            <w:tcW w:w="3114" w:type="dxa"/>
            <w:shd w:val="clear" w:color="auto" w:fill="D9E2F3" w:themeFill="accent1" w:themeFillTint="33"/>
          </w:tcPr>
          <w:p w14:paraId="661CBAD2" w14:textId="40A6E695" w:rsidR="00F27569" w:rsidRPr="00F27569" w:rsidRDefault="00F27569" w:rsidP="00DE312D">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7737EA58" w14:textId="386F78CE" w:rsidR="00F27569" w:rsidRPr="00F27569" w:rsidRDefault="00F27569" w:rsidP="007969E0">
            <w:pPr>
              <w:pStyle w:val="paragraph"/>
              <w:spacing w:before="0" w:beforeAutospacing="0" w:after="120" w:afterAutospacing="0" w:line="271" w:lineRule="auto"/>
              <w:jc w:val="left"/>
              <w:rPr>
                <w:b/>
                <w:bCs/>
              </w:rPr>
            </w:pPr>
            <w:r w:rsidRPr="00F27569">
              <w:rPr>
                <w:b/>
                <w:bCs/>
              </w:rPr>
              <w:t xml:space="preserve">Kierunki działań </w:t>
            </w:r>
          </w:p>
        </w:tc>
      </w:tr>
      <w:tr w:rsidR="00F27569" w:rsidRPr="00613FD0" w14:paraId="10E6298E" w14:textId="77777777" w:rsidTr="00B94438">
        <w:trPr>
          <w:trHeight w:val="699"/>
        </w:trPr>
        <w:tc>
          <w:tcPr>
            <w:tcW w:w="3114" w:type="dxa"/>
          </w:tcPr>
          <w:p w14:paraId="7143F86D" w14:textId="77777777" w:rsidR="00F27569" w:rsidRPr="00F27569" w:rsidRDefault="00F27569" w:rsidP="00DE312D">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p</w:t>
            </w:r>
            <w:r w:rsidRPr="007969E0">
              <w:rPr>
                <w:rFonts w:ascii="Times New Roman" w:hAnsi="Times New Roman" w:cs="Times New Roman"/>
                <w:b/>
                <w:bCs/>
                <w:sz w:val="24"/>
                <w:szCs w:val="24"/>
              </w:rPr>
              <w:t xml:space="preserve">oszerzenie i uatrakcyjnienie oferty </w:t>
            </w:r>
            <w:r w:rsidRPr="00F27569">
              <w:rPr>
                <w:rFonts w:ascii="Times New Roman" w:hAnsi="Times New Roman" w:cs="Times New Roman"/>
                <w:b/>
                <w:bCs/>
                <w:sz w:val="24"/>
                <w:szCs w:val="24"/>
              </w:rPr>
              <w:t xml:space="preserve">usług publicznych dla różnych grup interesariuszy </w:t>
            </w:r>
          </w:p>
          <w:p w14:paraId="70373567" w14:textId="77F09F78" w:rsidR="00F27569" w:rsidRPr="00613FD0" w:rsidRDefault="00F27569" w:rsidP="00DE312D">
            <w:pPr>
              <w:spacing w:line="276" w:lineRule="auto"/>
              <w:jc w:val="both"/>
              <w:rPr>
                <w:rFonts w:ascii="Times New Roman" w:hAnsi="Times New Roman" w:cs="Times New Roman"/>
                <w:sz w:val="24"/>
                <w:szCs w:val="24"/>
              </w:rPr>
            </w:pPr>
            <w:r w:rsidRPr="00613FD0">
              <w:rPr>
                <w:rFonts w:ascii="Times New Roman" w:hAnsi="Times New Roman" w:cs="Times New Roman"/>
                <w:sz w:val="24"/>
                <w:szCs w:val="24"/>
              </w:rPr>
              <w:t xml:space="preserve"> </w:t>
            </w:r>
          </w:p>
        </w:tc>
        <w:tc>
          <w:tcPr>
            <w:tcW w:w="5948" w:type="dxa"/>
          </w:tcPr>
          <w:p w14:paraId="2E270F70" w14:textId="3CF65921" w:rsidR="00F27569" w:rsidRPr="00613FD0" w:rsidRDefault="00F27569" w:rsidP="00B94438">
            <w:pPr>
              <w:pStyle w:val="paragraph"/>
              <w:numPr>
                <w:ilvl w:val="0"/>
                <w:numId w:val="114"/>
              </w:numPr>
              <w:spacing w:before="0" w:beforeAutospacing="0" w:after="0" w:afterAutospacing="0" w:line="276" w:lineRule="auto"/>
              <w:ind w:left="714" w:hanging="357"/>
              <w:jc w:val="left"/>
            </w:pPr>
            <w:r w:rsidRPr="00613FD0">
              <w:t>rozwój profilaktyki zdrowotnej i jej promocja;</w:t>
            </w:r>
          </w:p>
          <w:p w14:paraId="5D238679" w14:textId="2786A313" w:rsidR="00F27569" w:rsidRPr="00F27569" w:rsidRDefault="00F27569" w:rsidP="00B94438">
            <w:pPr>
              <w:pStyle w:val="Akapitzlist"/>
              <w:numPr>
                <w:ilvl w:val="0"/>
                <w:numId w:val="114"/>
              </w:numPr>
              <w:spacing w:line="276" w:lineRule="auto"/>
              <w:ind w:left="714" w:hanging="357"/>
              <w:jc w:val="both"/>
              <w:rPr>
                <w:rFonts w:ascii="Times New Roman" w:eastAsia="Calibri" w:hAnsi="Times New Roman" w:cs="Times New Roman"/>
                <w:sz w:val="24"/>
                <w:szCs w:val="24"/>
              </w:rPr>
            </w:pPr>
            <w:r w:rsidRPr="00F27569">
              <w:rPr>
                <w:rFonts w:ascii="Times New Roman" w:eastAsia="Calibri" w:hAnsi="Times New Roman" w:cs="Times New Roman"/>
                <w:sz w:val="24"/>
                <w:szCs w:val="24"/>
              </w:rPr>
              <w:t xml:space="preserve">tworzenie miejsc opieki dla dzieci, szczególnie w wieku do lat 3;  </w:t>
            </w:r>
          </w:p>
          <w:p w14:paraId="506FCE88" w14:textId="06D2A6C3" w:rsidR="00F27569" w:rsidRPr="00F27569" w:rsidRDefault="00F27569" w:rsidP="00B94438">
            <w:pPr>
              <w:pStyle w:val="Akapitzlist"/>
              <w:numPr>
                <w:ilvl w:val="0"/>
                <w:numId w:val="114"/>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zapewnienie odpowiedniego wsparcia osobom starszym (zarówno w zakresie usług opiekuńczych jak i aktywizacji społecznej);</w:t>
            </w:r>
          </w:p>
          <w:p w14:paraId="6C314863" w14:textId="77777777" w:rsidR="00F27569" w:rsidRPr="00F27569" w:rsidRDefault="00F27569" w:rsidP="00B94438">
            <w:pPr>
              <w:pStyle w:val="Akapitzlist"/>
              <w:numPr>
                <w:ilvl w:val="0"/>
                <w:numId w:val="114"/>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poprawa bezpieczeństwa na terenie Gminy (inwestycje zwiększające bezpieczeństwo na drogach – remonty dróg, chodniki, oświetlenie oraz działania na rzecz zwiększenia bezpieczeństwa publicznego);</w:t>
            </w:r>
          </w:p>
          <w:p w14:paraId="6AC5BABA" w14:textId="0A332EC9" w:rsidR="00F27569" w:rsidRDefault="00F27569" w:rsidP="00B94438">
            <w:pPr>
              <w:pStyle w:val="Akapitzlist"/>
              <w:numPr>
                <w:ilvl w:val="0"/>
                <w:numId w:val="114"/>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rozwój oferty zajęć pozalekcyjnych i poszerzenie oferty edukacji formalnej (m.in. klasy językowe, szkoła muzyczna)</w:t>
            </w:r>
            <w:r w:rsidR="004878C1">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1108926D" w14:textId="1E4CFA83" w:rsidR="004878C1" w:rsidRPr="00F27569" w:rsidRDefault="004878C1">
            <w:pPr>
              <w:pStyle w:val="Akapitzlist"/>
              <w:numPr>
                <w:ilvl w:val="0"/>
                <w:numId w:val="114"/>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rozwój oferty usług czasu wolnego skierowanej do różnych grup mieszkańców i użytkowników gminy;</w:t>
            </w:r>
          </w:p>
        </w:tc>
      </w:tr>
      <w:tr w:rsidR="00F27569" w:rsidRPr="00613FD0" w14:paraId="7DEE82C7" w14:textId="77777777" w:rsidTr="00624485">
        <w:trPr>
          <w:trHeight w:val="2505"/>
        </w:trPr>
        <w:tc>
          <w:tcPr>
            <w:tcW w:w="3114" w:type="dxa"/>
          </w:tcPr>
          <w:p w14:paraId="1E9712D1" w14:textId="77777777" w:rsidR="00F27569" w:rsidRPr="00F27569" w:rsidRDefault="00F27569" w:rsidP="00F27569">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lastRenderedPageBreak/>
              <w:t xml:space="preserve">wdrażanie ładu przestrzennego </w:t>
            </w:r>
          </w:p>
          <w:p w14:paraId="115BE968" w14:textId="7804D967" w:rsidR="00F27569" w:rsidRPr="00613FD0" w:rsidRDefault="00F27569" w:rsidP="00DE312D">
            <w:pPr>
              <w:spacing w:line="276" w:lineRule="auto"/>
              <w:jc w:val="both"/>
              <w:rPr>
                <w:rFonts w:ascii="Times New Roman" w:hAnsi="Times New Roman" w:cs="Times New Roman"/>
                <w:sz w:val="24"/>
                <w:szCs w:val="24"/>
              </w:rPr>
            </w:pPr>
          </w:p>
        </w:tc>
        <w:tc>
          <w:tcPr>
            <w:tcW w:w="5948" w:type="dxa"/>
          </w:tcPr>
          <w:p w14:paraId="45F54926" w14:textId="1CA787E4" w:rsidR="00F27569" w:rsidRPr="00F27569" w:rsidRDefault="00F27569">
            <w:pPr>
              <w:pStyle w:val="Akapitzlist"/>
              <w:numPr>
                <w:ilvl w:val="0"/>
                <w:numId w:val="113"/>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dalsza estetyzacja i rewitalizacja przestrzeni</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6E041729" w14:textId="6214EACD" w:rsidR="00F27569" w:rsidRPr="00F27569" w:rsidRDefault="00F27569">
            <w:pPr>
              <w:pStyle w:val="Akapitzlist"/>
              <w:numPr>
                <w:ilvl w:val="0"/>
                <w:numId w:val="113"/>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zapewnienie ochrony bioróżnorodności (utrzymanie w dobrym stanie obszarów cennych przyrodniczo)</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2DF9705D" w14:textId="5780A46C" w:rsidR="00F27569" w:rsidRPr="00F27569" w:rsidRDefault="00F27569">
            <w:pPr>
              <w:pStyle w:val="Akapitzlist"/>
              <w:numPr>
                <w:ilvl w:val="0"/>
                <w:numId w:val="113"/>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dalsza konsekwentna realizacji polityki przestrzennej</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7BE5B7AE" w14:textId="4295FCC2" w:rsidR="00F27569" w:rsidRPr="00F27569" w:rsidRDefault="00F27569">
            <w:pPr>
              <w:pStyle w:val="Akapitzlist"/>
              <w:numPr>
                <w:ilvl w:val="0"/>
                <w:numId w:val="113"/>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 xml:space="preserve">kształtowanie w przestrzeni </w:t>
            </w:r>
            <w:r w:rsidR="00B94438">
              <w:rPr>
                <w:rFonts w:ascii="Times New Roman" w:hAnsi="Times New Roman" w:cs="Times New Roman"/>
                <w:sz w:val="24"/>
                <w:szCs w:val="24"/>
              </w:rPr>
              <w:t>M</w:t>
            </w:r>
            <w:r w:rsidRPr="00F27569">
              <w:rPr>
                <w:rFonts w:ascii="Times New Roman" w:hAnsi="Times New Roman" w:cs="Times New Roman"/>
                <w:sz w:val="24"/>
                <w:szCs w:val="24"/>
              </w:rPr>
              <w:t>iasta i Gminy terenów publicznych, w tym szczególnie zieleni</w:t>
            </w:r>
            <w:r w:rsidR="00B94438">
              <w:rPr>
                <w:rFonts w:ascii="Times New Roman" w:hAnsi="Times New Roman" w:cs="Times New Roman"/>
                <w:sz w:val="24"/>
                <w:szCs w:val="24"/>
              </w:rPr>
              <w:t>;</w:t>
            </w:r>
          </w:p>
          <w:p w14:paraId="0E1605F0" w14:textId="0F0E7459" w:rsidR="00F27569" w:rsidRPr="00F27569" w:rsidRDefault="00F27569">
            <w:pPr>
              <w:pStyle w:val="Akapitzlist"/>
              <w:numPr>
                <w:ilvl w:val="0"/>
                <w:numId w:val="113"/>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kształtowanie przestrzeni gminy w celu zachowania terenów rolnych i rozwoju rolnictwa</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tc>
      </w:tr>
      <w:tr w:rsidR="00F27569" w:rsidRPr="00613FD0" w14:paraId="6AC46074" w14:textId="77777777" w:rsidTr="00624485">
        <w:tc>
          <w:tcPr>
            <w:tcW w:w="3114" w:type="dxa"/>
          </w:tcPr>
          <w:p w14:paraId="7D5833F5" w14:textId="77777777" w:rsidR="00F27569" w:rsidRPr="00F27569" w:rsidRDefault="00F27569" w:rsidP="00F27569">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 xml:space="preserve">tworzenie warunków i zachęt do rozwoju turystyki i rekreacji </w:t>
            </w:r>
          </w:p>
          <w:p w14:paraId="7AC46CF8" w14:textId="73B9579D" w:rsidR="00F27569" w:rsidRPr="00613FD0" w:rsidRDefault="00F27569" w:rsidP="00F27569">
            <w:pPr>
              <w:spacing w:line="276" w:lineRule="auto"/>
              <w:jc w:val="both"/>
              <w:rPr>
                <w:rFonts w:ascii="Times New Roman" w:hAnsi="Times New Roman" w:cs="Times New Roman"/>
                <w:sz w:val="24"/>
                <w:szCs w:val="24"/>
              </w:rPr>
            </w:pPr>
          </w:p>
        </w:tc>
        <w:tc>
          <w:tcPr>
            <w:tcW w:w="5948" w:type="dxa"/>
          </w:tcPr>
          <w:p w14:paraId="33CA86EB" w14:textId="389233F4" w:rsidR="00F27569" w:rsidRPr="00F27569" w:rsidRDefault="00F27569" w:rsidP="006C1287">
            <w:pPr>
              <w:pStyle w:val="Akapitzlist"/>
              <w:numPr>
                <w:ilvl w:val="0"/>
                <w:numId w:val="112"/>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opracowanie strategii marki terytorialnej</w:t>
            </w:r>
            <w:r w:rsidR="00B94438">
              <w:rPr>
                <w:rFonts w:ascii="Times New Roman" w:hAnsi="Times New Roman" w:cs="Times New Roman"/>
                <w:sz w:val="24"/>
                <w:szCs w:val="24"/>
              </w:rPr>
              <w:t>;</w:t>
            </w:r>
          </w:p>
          <w:p w14:paraId="1B976B9B" w14:textId="5BDFE544" w:rsidR="00F27569" w:rsidRPr="00F27569" w:rsidRDefault="00F27569" w:rsidP="006C1287">
            <w:pPr>
              <w:pStyle w:val="Akapitzlist"/>
              <w:numPr>
                <w:ilvl w:val="0"/>
                <w:numId w:val="112"/>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tworzenie zintegrowanych produktów turystycznych (wykorzystanie potencjału Czerska, historii Góry Kalwarii oraz walorów Wisły)</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005D6A7E" w14:textId="060126E8" w:rsidR="00F27569" w:rsidRPr="00613FD0" w:rsidRDefault="00F27569" w:rsidP="006C1287">
            <w:pPr>
              <w:pStyle w:val="paragraph"/>
              <w:numPr>
                <w:ilvl w:val="0"/>
                <w:numId w:val="112"/>
              </w:numPr>
              <w:spacing w:before="0" w:beforeAutospacing="0" w:after="0" w:afterAutospacing="0" w:line="271" w:lineRule="auto"/>
              <w:ind w:left="714" w:hanging="357"/>
              <w:jc w:val="left"/>
            </w:pPr>
            <w:r w:rsidRPr="00613FD0">
              <w:t>wykorzystanie bogatego dziedzictwa kulturowego miasta (m.in. dla tworzenia przestrzeni publicznych pełniących funkcje reprezentacyjne oraz związane z budowaniem tożsamości lokalnej);</w:t>
            </w:r>
          </w:p>
          <w:p w14:paraId="5C956805" w14:textId="28E08946" w:rsidR="00F27569" w:rsidRPr="00F27569" w:rsidRDefault="00F27569" w:rsidP="006C1287">
            <w:pPr>
              <w:pStyle w:val="Akapitzlist"/>
              <w:numPr>
                <w:ilvl w:val="0"/>
                <w:numId w:val="112"/>
              </w:numPr>
              <w:spacing w:line="276" w:lineRule="auto"/>
              <w:ind w:left="714" w:hanging="357"/>
              <w:jc w:val="both"/>
              <w:rPr>
                <w:rFonts w:ascii="Times New Roman" w:hAnsi="Times New Roman" w:cs="Times New Roman"/>
                <w:sz w:val="24"/>
                <w:szCs w:val="24"/>
              </w:rPr>
            </w:pPr>
            <w:r w:rsidRPr="00F27569">
              <w:rPr>
                <w:rFonts w:ascii="Times New Roman" w:eastAsia="Calibri" w:hAnsi="Times New Roman" w:cs="Times New Roman"/>
                <w:sz w:val="24"/>
                <w:szCs w:val="24"/>
              </w:rPr>
              <w:t>utrzymanie i dalszy rozwój miejsc i obiektów służących rekreacji (place zabaw, boiska, szlaki piesze i rowerowe i powi</w:t>
            </w:r>
            <w:r w:rsidR="00B94438">
              <w:rPr>
                <w:rFonts w:ascii="Times New Roman" w:eastAsia="Calibri" w:hAnsi="Times New Roman" w:cs="Times New Roman"/>
                <w:sz w:val="24"/>
                <w:szCs w:val="24"/>
              </w:rPr>
              <w:t>ą</w:t>
            </w:r>
            <w:r w:rsidRPr="00F27569">
              <w:rPr>
                <w:rFonts w:ascii="Times New Roman" w:eastAsia="Calibri" w:hAnsi="Times New Roman" w:cs="Times New Roman"/>
                <w:sz w:val="24"/>
                <w:szCs w:val="24"/>
              </w:rPr>
              <w:t>zanie ich z istniejącą siecią)</w:t>
            </w:r>
            <w:r w:rsidR="006C1287">
              <w:rPr>
                <w:rFonts w:ascii="Times New Roman" w:eastAsia="Calibri" w:hAnsi="Times New Roman" w:cs="Times New Roman"/>
                <w:sz w:val="24"/>
                <w:szCs w:val="24"/>
              </w:rPr>
              <w:t>;</w:t>
            </w:r>
            <w:r w:rsidRPr="00F27569">
              <w:rPr>
                <w:rFonts w:ascii="Times New Roman" w:eastAsia="Calibri" w:hAnsi="Times New Roman" w:cs="Times New Roman"/>
                <w:sz w:val="24"/>
                <w:szCs w:val="24"/>
              </w:rPr>
              <w:t xml:space="preserve"> </w:t>
            </w:r>
          </w:p>
        </w:tc>
      </w:tr>
      <w:tr w:rsidR="00F27569" w:rsidRPr="00613FD0" w14:paraId="7D66EBDC" w14:textId="77777777" w:rsidTr="00624485">
        <w:trPr>
          <w:trHeight w:val="1082"/>
        </w:trPr>
        <w:tc>
          <w:tcPr>
            <w:tcW w:w="3114" w:type="dxa"/>
          </w:tcPr>
          <w:p w14:paraId="48B9A327" w14:textId="4D4C5DEE" w:rsidR="00F27569" w:rsidRPr="00F27569" w:rsidRDefault="00F27569" w:rsidP="00B94438">
            <w:pPr>
              <w:spacing w:line="276" w:lineRule="auto"/>
              <w:rPr>
                <w:rFonts w:ascii="Times New Roman" w:hAnsi="Times New Roman" w:cs="Times New Roman"/>
                <w:b/>
                <w:bCs/>
                <w:sz w:val="24"/>
                <w:szCs w:val="24"/>
              </w:rPr>
            </w:pPr>
            <w:r w:rsidRPr="00F27569">
              <w:rPr>
                <w:rFonts w:ascii="Times New Roman" w:hAnsi="Times New Roman" w:cs="Times New Roman"/>
                <w:b/>
                <w:bCs/>
                <w:sz w:val="24"/>
                <w:szCs w:val="24"/>
              </w:rPr>
              <w:t>rozwój infrastruktury związanej z ochroną środowiska</w:t>
            </w:r>
          </w:p>
        </w:tc>
        <w:tc>
          <w:tcPr>
            <w:tcW w:w="5948" w:type="dxa"/>
          </w:tcPr>
          <w:p w14:paraId="17E2E2D9" w14:textId="48FEF9F4" w:rsidR="00F27569" w:rsidRPr="00F27569" w:rsidRDefault="00F27569" w:rsidP="000B14C0">
            <w:pPr>
              <w:pStyle w:val="Akapitzlist"/>
              <w:numPr>
                <w:ilvl w:val="0"/>
                <w:numId w:val="111"/>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dążenie do skanalizowania całej gminy</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1DD2EAF5" w14:textId="78C7CFF7" w:rsidR="00F27569" w:rsidRPr="00F27569" w:rsidRDefault="00F27569" w:rsidP="000B14C0">
            <w:pPr>
              <w:pStyle w:val="Akapitzlist"/>
              <w:numPr>
                <w:ilvl w:val="0"/>
                <w:numId w:val="111"/>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rozwój instalacji OZE (tworzenie warunków do rozwoju, instalacje demonstracyjne)</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658AC625" w14:textId="05BC431D" w:rsidR="00F27569" w:rsidRPr="00613FD0" w:rsidRDefault="00F27569" w:rsidP="000B14C0">
            <w:pPr>
              <w:pStyle w:val="paragraph"/>
              <w:numPr>
                <w:ilvl w:val="0"/>
                <w:numId w:val="111"/>
              </w:numPr>
              <w:spacing w:before="0" w:beforeAutospacing="0" w:after="0" w:afterAutospacing="0" w:line="271" w:lineRule="auto"/>
              <w:ind w:left="714" w:hanging="357"/>
            </w:pPr>
            <w:r w:rsidRPr="00613FD0">
              <w:t>inwestycje wspierające gospodarkę o obiegu zamkniętym w instytucjach publicznych, obiektach miejskich;</w:t>
            </w:r>
          </w:p>
          <w:p w14:paraId="54677509" w14:textId="24823E21" w:rsidR="00F27569" w:rsidRPr="00F27569" w:rsidRDefault="00F27569" w:rsidP="000B14C0">
            <w:pPr>
              <w:pStyle w:val="Akapitzlist"/>
              <w:numPr>
                <w:ilvl w:val="0"/>
                <w:numId w:val="111"/>
              </w:numPr>
              <w:spacing w:line="276" w:lineRule="auto"/>
              <w:ind w:left="714" w:hanging="357"/>
              <w:jc w:val="both"/>
              <w:rPr>
                <w:rFonts w:ascii="Times New Roman" w:hAnsi="Times New Roman" w:cs="Times New Roman"/>
                <w:sz w:val="24"/>
                <w:szCs w:val="24"/>
              </w:rPr>
            </w:pPr>
            <w:r w:rsidRPr="00F27569">
              <w:rPr>
                <w:rFonts w:ascii="Times New Roman" w:hAnsi="Times New Roman" w:cs="Times New Roman"/>
                <w:sz w:val="24"/>
                <w:szCs w:val="24"/>
              </w:rPr>
              <w:t>rozwój ekoinnowacji technologicznych, procesowych i produktowych w zakresie gospodarki odpadami i gospodarki wodnej</w:t>
            </w:r>
            <w:r w:rsidR="00B94438">
              <w:rPr>
                <w:rFonts w:ascii="Times New Roman" w:hAnsi="Times New Roman" w:cs="Times New Roman"/>
                <w:sz w:val="24"/>
                <w:szCs w:val="24"/>
              </w:rPr>
              <w:t>;</w:t>
            </w:r>
            <w:r w:rsidRPr="00F27569">
              <w:rPr>
                <w:rFonts w:ascii="Times New Roman" w:hAnsi="Times New Roman" w:cs="Times New Roman"/>
                <w:sz w:val="24"/>
                <w:szCs w:val="24"/>
              </w:rPr>
              <w:t xml:space="preserve"> </w:t>
            </w:r>
          </w:p>
          <w:p w14:paraId="14B4F6A6" w14:textId="11657CAC" w:rsidR="00F27569" w:rsidRPr="00613FD0" w:rsidRDefault="00F27569" w:rsidP="000B14C0">
            <w:pPr>
              <w:pStyle w:val="paragraph"/>
              <w:numPr>
                <w:ilvl w:val="0"/>
                <w:numId w:val="111"/>
              </w:numPr>
              <w:spacing w:before="0" w:beforeAutospacing="0" w:after="0" w:afterAutospacing="0" w:line="271" w:lineRule="auto"/>
              <w:ind w:left="714" w:hanging="357"/>
            </w:pPr>
            <w:r w:rsidRPr="00613FD0">
              <w:t>wdrażanie nowoczesnych rozwiązań z zakresu podnoszenia efektywności energetycznej (m.in. rozwój i modernizacja sieci gazowej, energooszczędne oświetlenie uliczne);</w:t>
            </w:r>
          </w:p>
        </w:tc>
      </w:tr>
      <w:tr w:rsidR="00F27569" w:rsidRPr="00613FD0" w14:paraId="365B98C2" w14:textId="77777777" w:rsidTr="00624485">
        <w:tc>
          <w:tcPr>
            <w:tcW w:w="9062" w:type="dxa"/>
            <w:gridSpan w:val="2"/>
            <w:shd w:val="clear" w:color="auto" w:fill="D9E2F3" w:themeFill="accent1" w:themeFillTint="33"/>
          </w:tcPr>
          <w:p w14:paraId="245BB6E7" w14:textId="77777777" w:rsidR="00F27569" w:rsidRDefault="00F27569" w:rsidP="00B94438">
            <w:pPr>
              <w:spacing w:line="276" w:lineRule="auto"/>
              <w:jc w:val="center"/>
              <w:rPr>
                <w:rFonts w:ascii="Times New Roman" w:hAnsi="Times New Roman" w:cs="Times New Roman"/>
                <w:b/>
                <w:bCs/>
                <w:sz w:val="24"/>
                <w:szCs w:val="24"/>
              </w:rPr>
            </w:pPr>
            <w:r w:rsidRPr="00F27569">
              <w:rPr>
                <w:rFonts w:ascii="Times New Roman" w:hAnsi="Times New Roman" w:cs="Times New Roman"/>
                <w:b/>
                <w:bCs/>
                <w:sz w:val="24"/>
                <w:szCs w:val="24"/>
              </w:rPr>
              <w:t>Cel strategiczny:  Gmina nowocześnie zarządzana</w:t>
            </w:r>
          </w:p>
          <w:p w14:paraId="1BE4DF6A" w14:textId="33963428" w:rsidR="00B94438" w:rsidRPr="00F27569" w:rsidRDefault="00B94438" w:rsidP="00B94438">
            <w:pPr>
              <w:spacing w:line="276" w:lineRule="auto"/>
              <w:jc w:val="center"/>
              <w:rPr>
                <w:rFonts w:ascii="Times New Roman" w:hAnsi="Times New Roman" w:cs="Times New Roman"/>
                <w:sz w:val="24"/>
                <w:szCs w:val="24"/>
              </w:rPr>
            </w:pPr>
          </w:p>
        </w:tc>
      </w:tr>
      <w:tr w:rsidR="00F27569" w:rsidRPr="00613FD0" w14:paraId="1A99C858" w14:textId="77777777" w:rsidTr="00624485">
        <w:tc>
          <w:tcPr>
            <w:tcW w:w="3114" w:type="dxa"/>
            <w:shd w:val="clear" w:color="auto" w:fill="D9E2F3" w:themeFill="accent1" w:themeFillTint="33"/>
          </w:tcPr>
          <w:p w14:paraId="79AE37CB" w14:textId="3A0DFFF8" w:rsidR="00F27569" w:rsidRPr="00624485" w:rsidRDefault="00F27569" w:rsidP="00DE312D">
            <w:pPr>
              <w:spacing w:line="276" w:lineRule="auto"/>
              <w:jc w:val="both"/>
              <w:rPr>
                <w:rFonts w:ascii="Times New Roman" w:hAnsi="Times New Roman" w:cs="Times New Roman"/>
                <w:b/>
                <w:bCs/>
                <w:sz w:val="24"/>
                <w:szCs w:val="24"/>
              </w:rPr>
            </w:pPr>
            <w:r w:rsidRPr="00624485">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2B9F5558" w14:textId="615F98F6" w:rsidR="00F27569" w:rsidRPr="00624485" w:rsidRDefault="00F27569" w:rsidP="00DE312D">
            <w:pPr>
              <w:spacing w:line="276" w:lineRule="auto"/>
              <w:jc w:val="both"/>
              <w:rPr>
                <w:rFonts w:ascii="Times New Roman" w:hAnsi="Times New Roman" w:cs="Times New Roman"/>
                <w:b/>
                <w:bCs/>
                <w:sz w:val="24"/>
                <w:szCs w:val="24"/>
              </w:rPr>
            </w:pPr>
            <w:r w:rsidRPr="00624485">
              <w:rPr>
                <w:rFonts w:ascii="Times New Roman" w:hAnsi="Times New Roman" w:cs="Times New Roman"/>
                <w:b/>
                <w:bCs/>
                <w:sz w:val="24"/>
                <w:szCs w:val="24"/>
              </w:rPr>
              <w:t xml:space="preserve">Kierunki działań </w:t>
            </w:r>
          </w:p>
        </w:tc>
      </w:tr>
      <w:tr w:rsidR="00624485" w:rsidRPr="00613FD0" w14:paraId="7632E8E8" w14:textId="77777777" w:rsidTr="00624485">
        <w:tc>
          <w:tcPr>
            <w:tcW w:w="3114" w:type="dxa"/>
          </w:tcPr>
          <w:p w14:paraId="5EDE12F3" w14:textId="77777777" w:rsidR="00624485" w:rsidRPr="00624485" w:rsidRDefault="00624485" w:rsidP="00DE312D">
            <w:pPr>
              <w:spacing w:line="276" w:lineRule="auto"/>
              <w:jc w:val="both"/>
              <w:rPr>
                <w:rFonts w:ascii="Times New Roman" w:hAnsi="Times New Roman" w:cs="Times New Roman"/>
                <w:b/>
                <w:bCs/>
                <w:sz w:val="24"/>
                <w:szCs w:val="24"/>
              </w:rPr>
            </w:pPr>
            <w:r w:rsidRPr="00624485">
              <w:rPr>
                <w:rFonts w:ascii="Times New Roman" w:hAnsi="Times New Roman" w:cs="Times New Roman"/>
                <w:b/>
                <w:bCs/>
                <w:sz w:val="24"/>
                <w:szCs w:val="24"/>
              </w:rPr>
              <w:t xml:space="preserve">wdrażanie zasad zarządzania partycypacyjnego </w:t>
            </w:r>
          </w:p>
          <w:p w14:paraId="4B3FA4FE" w14:textId="780ADFE3" w:rsidR="00624485" w:rsidRPr="00624485" w:rsidRDefault="00624485" w:rsidP="00DE312D">
            <w:pPr>
              <w:spacing w:line="276" w:lineRule="auto"/>
              <w:jc w:val="both"/>
              <w:rPr>
                <w:rFonts w:ascii="Times New Roman" w:hAnsi="Times New Roman" w:cs="Times New Roman"/>
                <w:b/>
                <w:bCs/>
                <w:sz w:val="24"/>
                <w:szCs w:val="24"/>
              </w:rPr>
            </w:pPr>
          </w:p>
        </w:tc>
        <w:tc>
          <w:tcPr>
            <w:tcW w:w="5948" w:type="dxa"/>
          </w:tcPr>
          <w:p w14:paraId="754991BE" w14:textId="77777777" w:rsidR="00B94438" w:rsidRDefault="00624485" w:rsidP="00B94438">
            <w:pPr>
              <w:pStyle w:val="Akapitzlist"/>
              <w:numPr>
                <w:ilvl w:val="0"/>
                <w:numId w:val="117"/>
              </w:numPr>
              <w:spacing w:line="276" w:lineRule="auto"/>
              <w:ind w:left="714" w:hanging="357"/>
              <w:jc w:val="both"/>
              <w:rPr>
                <w:rFonts w:ascii="Times New Roman" w:hAnsi="Times New Roman" w:cs="Times New Roman"/>
                <w:sz w:val="24"/>
                <w:szCs w:val="24"/>
              </w:rPr>
            </w:pPr>
            <w:r w:rsidRPr="00624485">
              <w:rPr>
                <w:rFonts w:ascii="Times New Roman" w:hAnsi="Times New Roman" w:cs="Times New Roman"/>
                <w:sz w:val="24"/>
                <w:szCs w:val="24"/>
              </w:rPr>
              <w:t>wdrażanie programów edukacyjnych w zakresie rozwoju postaw: partycypacji, przedsiębiorczości, współpracy;</w:t>
            </w:r>
          </w:p>
          <w:p w14:paraId="7D8AC119" w14:textId="58A60CE5" w:rsidR="00624485" w:rsidRPr="00B94438" w:rsidRDefault="00624485" w:rsidP="000B14C0">
            <w:pPr>
              <w:pStyle w:val="Akapitzlist"/>
              <w:numPr>
                <w:ilvl w:val="0"/>
                <w:numId w:val="117"/>
              </w:numPr>
              <w:spacing w:line="276" w:lineRule="auto"/>
              <w:ind w:left="714" w:hanging="357"/>
              <w:jc w:val="both"/>
              <w:rPr>
                <w:rFonts w:ascii="Times New Roman" w:hAnsi="Times New Roman" w:cs="Times New Roman"/>
                <w:sz w:val="24"/>
                <w:szCs w:val="24"/>
              </w:rPr>
            </w:pPr>
            <w:r w:rsidRPr="00B94438">
              <w:rPr>
                <w:rFonts w:ascii="Times New Roman" w:hAnsi="Times New Roman" w:cs="Times New Roman"/>
                <w:sz w:val="24"/>
                <w:szCs w:val="24"/>
              </w:rPr>
              <w:lastRenderedPageBreak/>
              <w:t>wzmacnianie nowoczesnych umiejętności i kompetencji kadry administracyjnej i samorządowej;</w:t>
            </w:r>
          </w:p>
          <w:p w14:paraId="03E84B1B" w14:textId="77777777" w:rsidR="00624485" w:rsidRPr="00613FD0" w:rsidRDefault="00624485" w:rsidP="000B14C0">
            <w:pPr>
              <w:pStyle w:val="paragraph"/>
              <w:numPr>
                <w:ilvl w:val="0"/>
                <w:numId w:val="117"/>
              </w:numPr>
              <w:spacing w:before="0" w:beforeAutospacing="0" w:after="0" w:afterAutospacing="0" w:line="271" w:lineRule="auto"/>
            </w:pPr>
            <w:r w:rsidRPr="00613FD0">
              <w:t>wdrażanie zielonych zamówień publicznych i uwzględnianie w zamówieniach publicznych klauzul GOZ i klauzul społecznych;</w:t>
            </w:r>
          </w:p>
          <w:p w14:paraId="63A96FCD" w14:textId="5CEBDEDE" w:rsidR="00624485" w:rsidRPr="00613FD0" w:rsidRDefault="00624485" w:rsidP="000B14C0">
            <w:pPr>
              <w:pStyle w:val="paragraph"/>
              <w:numPr>
                <w:ilvl w:val="0"/>
                <w:numId w:val="117"/>
              </w:numPr>
              <w:spacing w:before="0" w:beforeAutospacing="0" w:after="0" w:afterAutospacing="0" w:line="271" w:lineRule="auto"/>
            </w:pPr>
            <w:r w:rsidRPr="00613FD0">
              <w:t xml:space="preserve">identyfikacja potrzeb mieszkańców przez okresowe badania </w:t>
            </w:r>
            <w:r w:rsidR="000B14C0">
              <w:t xml:space="preserve">np. </w:t>
            </w:r>
            <w:r w:rsidRPr="00613FD0">
              <w:t xml:space="preserve">typu panel obywatelski </w:t>
            </w:r>
            <w:r w:rsidR="000B14C0">
              <w:t>;</w:t>
            </w:r>
          </w:p>
        </w:tc>
      </w:tr>
      <w:tr w:rsidR="00624485" w:rsidRPr="00613FD0" w14:paraId="34112E12" w14:textId="77777777" w:rsidTr="00624485">
        <w:tc>
          <w:tcPr>
            <w:tcW w:w="3114" w:type="dxa"/>
          </w:tcPr>
          <w:p w14:paraId="3E2B3E1C" w14:textId="77777777" w:rsidR="00624485" w:rsidRPr="00624485" w:rsidRDefault="00624485" w:rsidP="00624485">
            <w:pPr>
              <w:spacing w:line="276" w:lineRule="auto"/>
              <w:jc w:val="both"/>
              <w:rPr>
                <w:rFonts w:ascii="Times New Roman" w:hAnsi="Times New Roman" w:cs="Times New Roman"/>
                <w:b/>
                <w:bCs/>
                <w:sz w:val="24"/>
                <w:szCs w:val="24"/>
              </w:rPr>
            </w:pPr>
            <w:r w:rsidRPr="00624485">
              <w:rPr>
                <w:rFonts w:ascii="Times New Roman" w:hAnsi="Times New Roman" w:cs="Times New Roman"/>
                <w:b/>
                <w:bCs/>
                <w:sz w:val="24"/>
                <w:szCs w:val="24"/>
              </w:rPr>
              <w:lastRenderedPageBreak/>
              <w:t xml:space="preserve">pełniejsze wdrożenie e-usług </w:t>
            </w:r>
          </w:p>
          <w:p w14:paraId="011D9A4E" w14:textId="2642770E" w:rsidR="00624485" w:rsidRPr="00624485" w:rsidRDefault="00624485" w:rsidP="00DE312D">
            <w:pPr>
              <w:spacing w:line="276" w:lineRule="auto"/>
              <w:jc w:val="both"/>
              <w:rPr>
                <w:rFonts w:ascii="Times New Roman" w:hAnsi="Times New Roman" w:cs="Times New Roman"/>
                <w:b/>
                <w:bCs/>
                <w:sz w:val="24"/>
                <w:szCs w:val="24"/>
              </w:rPr>
            </w:pPr>
          </w:p>
        </w:tc>
        <w:tc>
          <w:tcPr>
            <w:tcW w:w="5948" w:type="dxa"/>
          </w:tcPr>
          <w:p w14:paraId="6D717436" w14:textId="7B2D2285" w:rsidR="00624485" w:rsidRPr="00613FD0" w:rsidRDefault="00624485">
            <w:pPr>
              <w:pStyle w:val="paragraph"/>
              <w:numPr>
                <w:ilvl w:val="0"/>
                <w:numId w:val="118"/>
              </w:numPr>
              <w:spacing w:before="0" w:beforeAutospacing="0" w:after="0" w:afterAutospacing="0" w:line="271" w:lineRule="auto"/>
              <w:jc w:val="left"/>
            </w:pPr>
            <w:r w:rsidRPr="00613FD0">
              <w:t>zwiększenie oferty usług e-administracji;</w:t>
            </w:r>
          </w:p>
          <w:p w14:paraId="67B55F2D" w14:textId="5FD1D80B" w:rsidR="00624485" w:rsidRPr="00613FD0" w:rsidRDefault="00624485">
            <w:pPr>
              <w:pStyle w:val="paragraph"/>
              <w:numPr>
                <w:ilvl w:val="0"/>
                <w:numId w:val="118"/>
              </w:numPr>
              <w:spacing w:before="0" w:beforeAutospacing="0" w:after="0" w:afterAutospacing="0" w:line="271" w:lineRule="auto"/>
              <w:jc w:val="left"/>
            </w:pPr>
            <w:r w:rsidRPr="00613FD0">
              <w:t>zapewnienie możliwości podnoszenia kompetencji w zakresie e- gospodarki</w:t>
            </w:r>
            <w:r w:rsidR="000B14C0">
              <w:t>;</w:t>
            </w:r>
            <w:r w:rsidRPr="00613FD0">
              <w:t xml:space="preserve"> </w:t>
            </w:r>
          </w:p>
        </w:tc>
      </w:tr>
      <w:tr w:rsidR="00624485" w:rsidRPr="00613FD0" w14:paraId="21905419" w14:textId="77777777" w:rsidTr="00624485">
        <w:tc>
          <w:tcPr>
            <w:tcW w:w="3114" w:type="dxa"/>
          </w:tcPr>
          <w:p w14:paraId="0693F453" w14:textId="543BF9A8" w:rsidR="00624485" w:rsidRPr="00624485" w:rsidRDefault="00624485" w:rsidP="00DE312D">
            <w:pPr>
              <w:spacing w:line="276" w:lineRule="auto"/>
              <w:jc w:val="both"/>
              <w:rPr>
                <w:rFonts w:ascii="Times New Roman" w:hAnsi="Times New Roman" w:cs="Times New Roman"/>
                <w:b/>
                <w:bCs/>
                <w:sz w:val="24"/>
                <w:szCs w:val="24"/>
              </w:rPr>
            </w:pPr>
            <w:r w:rsidRPr="00624485">
              <w:rPr>
                <w:rFonts w:ascii="Times New Roman" w:hAnsi="Times New Roman" w:cs="Times New Roman"/>
                <w:b/>
                <w:bCs/>
                <w:sz w:val="24"/>
                <w:szCs w:val="24"/>
              </w:rPr>
              <w:t>zapewnienie ciągłości wdrażania celów polityki rozwoju lokalnego</w:t>
            </w:r>
          </w:p>
        </w:tc>
        <w:tc>
          <w:tcPr>
            <w:tcW w:w="5948" w:type="dxa"/>
          </w:tcPr>
          <w:p w14:paraId="6419ED97" w14:textId="1059FF55" w:rsidR="00624485" w:rsidRPr="00624485" w:rsidRDefault="00624485">
            <w:pPr>
              <w:pStyle w:val="Akapitzlist"/>
              <w:numPr>
                <w:ilvl w:val="0"/>
                <w:numId w:val="119"/>
              </w:numPr>
              <w:spacing w:line="276" w:lineRule="auto"/>
              <w:jc w:val="both"/>
              <w:rPr>
                <w:rFonts w:ascii="Times New Roman" w:hAnsi="Times New Roman" w:cs="Times New Roman"/>
                <w:sz w:val="24"/>
                <w:szCs w:val="24"/>
              </w:rPr>
            </w:pPr>
            <w:r w:rsidRPr="00624485">
              <w:rPr>
                <w:rFonts w:ascii="Times New Roman" w:hAnsi="Times New Roman" w:cs="Times New Roman"/>
                <w:sz w:val="24"/>
                <w:szCs w:val="24"/>
              </w:rPr>
              <w:t>realizacja monitoringu i ewaluacji dokumentów związanych z polityką rozwoju</w:t>
            </w:r>
            <w:r w:rsidR="000B14C0">
              <w:rPr>
                <w:rFonts w:ascii="Times New Roman" w:hAnsi="Times New Roman" w:cs="Times New Roman"/>
                <w:sz w:val="24"/>
                <w:szCs w:val="24"/>
              </w:rPr>
              <w:t>;</w:t>
            </w:r>
            <w:r w:rsidRPr="00624485">
              <w:rPr>
                <w:rFonts w:ascii="Times New Roman" w:hAnsi="Times New Roman" w:cs="Times New Roman"/>
                <w:sz w:val="24"/>
                <w:szCs w:val="24"/>
              </w:rPr>
              <w:t xml:space="preserve"> </w:t>
            </w:r>
          </w:p>
          <w:p w14:paraId="7510D38A" w14:textId="67A5117B" w:rsidR="00624485" w:rsidRPr="00624485" w:rsidRDefault="00624485">
            <w:pPr>
              <w:pStyle w:val="Akapitzlist"/>
              <w:numPr>
                <w:ilvl w:val="0"/>
                <w:numId w:val="119"/>
              </w:numPr>
              <w:spacing w:line="276" w:lineRule="auto"/>
              <w:jc w:val="both"/>
              <w:rPr>
                <w:rFonts w:ascii="Times New Roman" w:hAnsi="Times New Roman" w:cs="Times New Roman"/>
                <w:sz w:val="24"/>
                <w:szCs w:val="24"/>
              </w:rPr>
            </w:pPr>
            <w:r w:rsidRPr="00624485">
              <w:rPr>
                <w:rFonts w:ascii="Times New Roman" w:hAnsi="Times New Roman" w:cs="Times New Roman"/>
                <w:sz w:val="24"/>
                <w:szCs w:val="24"/>
              </w:rPr>
              <w:t>wdrożenie szerokiej partycypacji na etapie opracowania i wdrażania dokumentów związanych z polityką lokalną – kształtowanie postaw odpowiedzialności interesariuszy za przyjęte cele rozwojowe</w:t>
            </w:r>
            <w:r w:rsidR="000B14C0">
              <w:rPr>
                <w:rFonts w:ascii="Times New Roman" w:hAnsi="Times New Roman" w:cs="Times New Roman"/>
                <w:sz w:val="24"/>
                <w:szCs w:val="24"/>
              </w:rPr>
              <w:t>;</w:t>
            </w:r>
            <w:r w:rsidRPr="00624485">
              <w:rPr>
                <w:rFonts w:ascii="Times New Roman" w:hAnsi="Times New Roman" w:cs="Times New Roman"/>
                <w:sz w:val="24"/>
                <w:szCs w:val="24"/>
              </w:rPr>
              <w:t xml:space="preserve"> </w:t>
            </w:r>
          </w:p>
        </w:tc>
      </w:tr>
      <w:tr w:rsidR="00F27569" w:rsidRPr="00613FD0" w14:paraId="7A8637F1" w14:textId="77777777" w:rsidTr="00624485">
        <w:trPr>
          <w:trHeight w:val="358"/>
        </w:trPr>
        <w:tc>
          <w:tcPr>
            <w:tcW w:w="9062" w:type="dxa"/>
            <w:gridSpan w:val="2"/>
            <w:shd w:val="clear" w:color="auto" w:fill="D9E2F3" w:themeFill="accent1" w:themeFillTint="33"/>
          </w:tcPr>
          <w:p w14:paraId="08BF970F" w14:textId="77777777" w:rsidR="00F27569" w:rsidRDefault="00F27569" w:rsidP="00F27569">
            <w:pPr>
              <w:spacing w:line="276" w:lineRule="auto"/>
              <w:jc w:val="center"/>
              <w:rPr>
                <w:rFonts w:ascii="Times New Roman" w:hAnsi="Times New Roman" w:cs="Times New Roman"/>
                <w:b/>
                <w:bCs/>
                <w:sz w:val="24"/>
                <w:szCs w:val="24"/>
              </w:rPr>
            </w:pPr>
            <w:r w:rsidRPr="00F27569">
              <w:rPr>
                <w:rFonts w:ascii="Times New Roman" w:hAnsi="Times New Roman" w:cs="Times New Roman"/>
                <w:b/>
                <w:bCs/>
                <w:sz w:val="24"/>
                <w:szCs w:val="24"/>
              </w:rPr>
              <w:t>Cel strategiczny:   Gmina reagująca na wyzwania</w:t>
            </w:r>
          </w:p>
          <w:p w14:paraId="3C4D3F67" w14:textId="429C7EF7" w:rsidR="000B14C0" w:rsidRPr="00F27569" w:rsidRDefault="000B14C0" w:rsidP="00F27569">
            <w:pPr>
              <w:spacing w:line="276" w:lineRule="auto"/>
              <w:jc w:val="center"/>
              <w:rPr>
                <w:rFonts w:ascii="Times New Roman" w:hAnsi="Times New Roman" w:cs="Times New Roman"/>
                <w:sz w:val="24"/>
                <w:szCs w:val="24"/>
              </w:rPr>
            </w:pPr>
          </w:p>
        </w:tc>
      </w:tr>
      <w:tr w:rsidR="00F27569" w:rsidRPr="00613FD0" w14:paraId="21086500" w14:textId="77777777" w:rsidTr="00624485">
        <w:trPr>
          <w:trHeight w:val="419"/>
        </w:trPr>
        <w:tc>
          <w:tcPr>
            <w:tcW w:w="3114" w:type="dxa"/>
            <w:shd w:val="clear" w:color="auto" w:fill="D9E2F3" w:themeFill="accent1" w:themeFillTint="33"/>
          </w:tcPr>
          <w:p w14:paraId="67620B86" w14:textId="01B55094" w:rsidR="00F27569" w:rsidRPr="00F27569" w:rsidRDefault="00F27569" w:rsidP="00DE312D">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37610BA4" w14:textId="1A567438" w:rsidR="00F27569" w:rsidRPr="00F27569" w:rsidRDefault="00F27569" w:rsidP="00760BAC">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 xml:space="preserve">Kierunki działań </w:t>
            </w:r>
          </w:p>
        </w:tc>
      </w:tr>
      <w:tr w:rsidR="00F27569" w:rsidRPr="00613FD0" w14:paraId="06D9EA82" w14:textId="77777777" w:rsidTr="00624485">
        <w:trPr>
          <w:trHeight w:val="2866"/>
        </w:trPr>
        <w:tc>
          <w:tcPr>
            <w:tcW w:w="3114" w:type="dxa"/>
          </w:tcPr>
          <w:p w14:paraId="3C25B2AB" w14:textId="77777777" w:rsidR="00F27569" w:rsidRPr="00F27569" w:rsidRDefault="00F27569" w:rsidP="00F27569">
            <w:pPr>
              <w:spacing w:line="276" w:lineRule="auto"/>
              <w:rPr>
                <w:rFonts w:ascii="Times New Roman" w:hAnsi="Times New Roman" w:cs="Times New Roman"/>
                <w:b/>
                <w:bCs/>
                <w:sz w:val="24"/>
                <w:szCs w:val="24"/>
              </w:rPr>
            </w:pPr>
            <w:r w:rsidRPr="00F27569">
              <w:rPr>
                <w:rFonts w:ascii="Times New Roman" w:hAnsi="Times New Roman" w:cs="Times New Roman"/>
                <w:b/>
                <w:bCs/>
                <w:sz w:val="24"/>
                <w:szCs w:val="24"/>
              </w:rPr>
              <w:t>podjęcie działań na rzecz włączenia społecznego i przeciwdziałanie procesom wykluczenia (szeroko rozumianego)</w:t>
            </w:r>
          </w:p>
          <w:p w14:paraId="0AFA8397" w14:textId="7AF2E197" w:rsidR="00F27569" w:rsidRPr="00613FD0" w:rsidRDefault="00F27569" w:rsidP="00DE312D">
            <w:pPr>
              <w:spacing w:line="276" w:lineRule="auto"/>
              <w:jc w:val="both"/>
              <w:rPr>
                <w:rFonts w:ascii="Times New Roman" w:hAnsi="Times New Roman" w:cs="Times New Roman"/>
                <w:sz w:val="24"/>
                <w:szCs w:val="24"/>
              </w:rPr>
            </w:pPr>
          </w:p>
        </w:tc>
        <w:tc>
          <w:tcPr>
            <w:tcW w:w="5948" w:type="dxa"/>
          </w:tcPr>
          <w:p w14:paraId="1CCADAD2" w14:textId="4F19594C" w:rsidR="00F27569" w:rsidRPr="00F27569" w:rsidRDefault="00F27569">
            <w:pPr>
              <w:pStyle w:val="Akapitzlist"/>
              <w:numPr>
                <w:ilvl w:val="0"/>
                <w:numId w:val="116"/>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 xml:space="preserve">tworzenie wielofunkcyjnych, integrujących przestrzeni publicznych dostosowanych do potrzeb różnych grup odbiorców (m.in. miejsca odpoczynku dla seniorów, przestrzenie z funkcjami edukacyjnymi); </w:t>
            </w:r>
          </w:p>
          <w:p w14:paraId="68B73743" w14:textId="3912DF4F" w:rsidR="00F27569" w:rsidRPr="00F27569" w:rsidRDefault="00F27569">
            <w:pPr>
              <w:pStyle w:val="Akapitzlist"/>
              <w:numPr>
                <w:ilvl w:val="0"/>
                <w:numId w:val="116"/>
              </w:numPr>
              <w:spacing w:line="276" w:lineRule="auto"/>
              <w:jc w:val="both"/>
              <w:rPr>
                <w:rFonts w:ascii="Times New Roman" w:hAnsi="Times New Roman" w:cs="Times New Roman"/>
                <w:sz w:val="24"/>
                <w:szCs w:val="24"/>
              </w:rPr>
            </w:pPr>
            <w:r w:rsidRPr="00F27569">
              <w:rPr>
                <w:rFonts w:ascii="Times New Roman" w:hAnsi="Times New Roman" w:cs="Times New Roman"/>
                <w:sz w:val="24"/>
                <w:szCs w:val="24"/>
              </w:rPr>
              <w:t>uatrakcyjnienie oferty edukacyjnej formalnej i nieformalnej dla różnych grup wiekowych  (edukacja przez całe życie)</w:t>
            </w:r>
            <w:r w:rsidR="000B14C0">
              <w:rPr>
                <w:rFonts w:ascii="Times New Roman" w:hAnsi="Times New Roman" w:cs="Times New Roman"/>
                <w:sz w:val="24"/>
                <w:szCs w:val="24"/>
              </w:rPr>
              <w:t>;</w:t>
            </w:r>
          </w:p>
          <w:p w14:paraId="4796FFA3" w14:textId="556C2083" w:rsidR="00F27569" w:rsidRPr="00F27569" w:rsidRDefault="00F27569">
            <w:pPr>
              <w:pStyle w:val="paragraph"/>
              <w:numPr>
                <w:ilvl w:val="0"/>
                <w:numId w:val="116"/>
              </w:numPr>
              <w:spacing w:before="0" w:beforeAutospacing="0" w:after="120" w:afterAutospacing="0" w:line="271" w:lineRule="auto"/>
              <w:jc w:val="left"/>
            </w:pPr>
            <w:r w:rsidRPr="00613FD0">
              <w:t>likwidacja barier architektonicznych w obiektach i przestrzeniach publicznych;</w:t>
            </w:r>
          </w:p>
        </w:tc>
      </w:tr>
      <w:tr w:rsidR="00F27569" w:rsidRPr="00613FD0" w14:paraId="0604786E" w14:textId="77777777" w:rsidTr="00624485">
        <w:tc>
          <w:tcPr>
            <w:tcW w:w="3114" w:type="dxa"/>
          </w:tcPr>
          <w:p w14:paraId="0C5514BF" w14:textId="52C5645A" w:rsidR="00F27569" w:rsidRPr="00F27569" w:rsidRDefault="00F27569" w:rsidP="00DE312D">
            <w:pPr>
              <w:spacing w:line="276" w:lineRule="auto"/>
              <w:jc w:val="both"/>
              <w:rPr>
                <w:rFonts w:ascii="Times New Roman" w:hAnsi="Times New Roman" w:cs="Times New Roman"/>
                <w:b/>
                <w:bCs/>
                <w:sz w:val="24"/>
                <w:szCs w:val="24"/>
              </w:rPr>
            </w:pPr>
            <w:r w:rsidRPr="00F27569">
              <w:rPr>
                <w:rFonts w:ascii="Times New Roman" w:hAnsi="Times New Roman" w:cs="Times New Roman"/>
                <w:b/>
                <w:bCs/>
                <w:sz w:val="24"/>
                <w:szCs w:val="24"/>
              </w:rPr>
              <w:t>tworzenie klimatu dla rozwoju przedsiębiorczości</w:t>
            </w:r>
          </w:p>
        </w:tc>
        <w:tc>
          <w:tcPr>
            <w:tcW w:w="5948" w:type="dxa"/>
          </w:tcPr>
          <w:p w14:paraId="3710D72B" w14:textId="65CF522A" w:rsidR="00F27569" w:rsidRPr="00613FD0" w:rsidRDefault="00F27569" w:rsidP="000B14C0">
            <w:pPr>
              <w:pStyle w:val="paragraph"/>
              <w:numPr>
                <w:ilvl w:val="0"/>
                <w:numId w:val="115"/>
              </w:numPr>
              <w:spacing w:before="0" w:beforeAutospacing="0" w:after="0" w:afterAutospacing="0" w:line="276" w:lineRule="auto"/>
            </w:pPr>
            <w:r w:rsidRPr="00613FD0">
              <w:t>monitoring potrzeb lokalnego rynku pracy i współpraca</w:t>
            </w:r>
            <w:r w:rsidR="000B14C0">
              <w:t xml:space="preserve"> międzysektorowa w zakresie odpowiadania na potrzeby lokalnego rynku pracy;</w:t>
            </w:r>
            <w:r w:rsidRPr="00613FD0">
              <w:t xml:space="preserve"> </w:t>
            </w:r>
          </w:p>
          <w:p w14:paraId="08FB856A" w14:textId="60BF51D6" w:rsidR="00F27569" w:rsidRPr="00613FD0" w:rsidRDefault="00F27569" w:rsidP="000B14C0">
            <w:pPr>
              <w:pStyle w:val="paragraph"/>
              <w:numPr>
                <w:ilvl w:val="0"/>
                <w:numId w:val="115"/>
              </w:numPr>
              <w:spacing w:before="0" w:beforeAutospacing="0" w:after="0" w:afterAutospacing="0" w:line="276" w:lineRule="auto"/>
            </w:pPr>
            <w:r w:rsidRPr="00613FD0">
              <w:t xml:space="preserve">tworzenie programów nauczania we współpracy z przedsiębiorcami (np. staże, projekty mentoringowe); </w:t>
            </w:r>
          </w:p>
          <w:p w14:paraId="26B35B81" w14:textId="5BB5D448" w:rsidR="00F27569" w:rsidRPr="00613FD0" w:rsidRDefault="00F27569" w:rsidP="000B14C0">
            <w:pPr>
              <w:pStyle w:val="paragraph"/>
              <w:numPr>
                <w:ilvl w:val="0"/>
                <w:numId w:val="115"/>
              </w:numPr>
              <w:spacing w:before="0" w:beforeAutospacing="0" w:after="0" w:afterAutospacing="0" w:line="276" w:lineRule="auto"/>
            </w:pPr>
            <w:r w:rsidRPr="00613FD0">
              <w:t>realizacja proinwestycyjnej</w:t>
            </w:r>
            <w:r w:rsidR="000B14C0">
              <w:t xml:space="preserve"> </w:t>
            </w:r>
            <w:r w:rsidR="000B14C0" w:rsidRPr="00613FD0">
              <w:t>polityki przestrzennej</w:t>
            </w:r>
            <w:r w:rsidR="000B14C0">
              <w:t>;</w:t>
            </w:r>
            <w:r w:rsidRPr="00613FD0">
              <w:t xml:space="preserve"> </w:t>
            </w:r>
          </w:p>
          <w:p w14:paraId="37099777" w14:textId="440DDE5B" w:rsidR="00F27569" w:rsidRPr="00613FD0" w:rsidRDefault="00F27569" w:rsidP="000B14C0">
            <w:pPr>
              <w:pStyle w:val="paragraph"/>
              <w:numPr>
                <w:ilvl w:val="0"/>
                <w:numId w:val="115"/>
              </w:numPr>
              <w:spacing w:before="0" w:beforeAutospacing="0" w:after="0" w:afterAutospacing="0" w:line="276" w:lineRule="auto"/>
            </w:pPr>
            <w:r w:rsidRPr="00613FD0">
              <w:t xml:space="preserve">wzmacnianie atrakcyjności obszaru miasta jako kreatora rozwoju społeczno-gospodarczego (m.in. rewitalizacja tkanki miejskiej). </w:t>
            </w:r>
          </w:p>
        </w:tc>
      </w:tr>
    </w:tbl>
    <w:p w14:paraId="059271F5" w14:textId="4CB6E261" w:rsidR="00DE312D" w:rsidRDefault="00367B5B" w:rsidP="00DE312D">
      <w:pPr>
        <w:spacing w:after="0" w:line="276" w:lineRule="auto"/>
        <w:rPr>
          <w:rFonts w:ascii="Times New Roman" w:hAnsi="Times New Roman" w:cs="Times New Roman"/>
          <w:sz w:val="24"/>
          <w:szCs w:val="24"/>
        </w:rPr>
      </w:pPr>
      <w:r>
        <w:rPr>
          <w:rFonts w:ascii="Times New Roman" w:hAnsi="Times New Roman" w:cs="Times New Roman"/>
          <w:sz w:val="24"/>
          <w:szCs w:val="24"/>
        </w:rPr>
        <w:t>Źródło: opracowanie własne</w:t>
      </w:r>
    </w:p>
    <w:p w14:paraId="758394B0" w14:textId="77777777" w:rsidR="000915EA" w:rsidRPr="00DE312D" w:rsidRDefault="000915EA" w:rsidP="00DE312D">
      <w:pPr>
        <w:spacing w:after="0" w:line="276" w:lineRule="auto"/>
        <w:rPr>
          <w:rFonts w:ascii="Times New Roman" w:hAnsi="Times New Roman" w:cs="Times New Roman"/>
          <w:sz w:val="24"/>
          <w:szCs w:val="24"/>
        </w:rPr>
      </w:pPr>
    </w:p>
    <w:p w14:paraId="73B61066" w14:textId="561F0544" w:rsidR="000562EC" w:rsidRPr="004E07DD" w:rsidRDefault="00213798" w:rsidP="009A4B77">
      <w:pPr>
        <w:pStyle w:val="Nagwek1"/>
        <w:numPr>
          <w:ilvl w:val="0"/>
          <w:numId w:val="123"/>
        </w:numPr>
        <w:rPr>
          <w:rFonts w:ascii="Times New Roman" w:hAnsi="Times New Roman" w:cs="Times New Roman"/>
          <w:b/>
          <w:bCs/>
          <w:color w:val="0070C0"/>
          <w:sz w:val="28"/>
          <w:szCs w:val="28"/>
        </w:rPr>
      </w:pPr>
      <w:bookmarkStart w:id="26" w:name="_Hlk119635106"/>
      <w:r w:rsidRPr="004E07DD">
        <w:rPr>
          <w:rFonts w:ascii="Times New Roman" w:hAnsi="Times New Roman" w:cs="Times New Roman"/>
          <w:b/>
          <w:bCs/>
          <w:color w:val="0070C0"/>
          <w:sz w:val="28"/>
          <w:szCs w:val="28"/>
        </w:rPr>
        <w:t xml:space="preserve">Model struktury funkcjonalno-przestrzennej Miasta i Gminy </w:t>
      </w:r>
      <w:r w:rsidR="000562EC" w:rsidRPr="004E07DD">
        <w:rPr>
          <w:rFonts w:ascii="Times New Roman" w:hAnsi="Times New Roman" w:cs="Times New Roman"/>
          <w:b/>
          <w:bCs/>
          <w:color w:val="0070C0"/>
          <w:sz w:val="28"/>
          <w:szCs w:val="28"/>
        </w:rPr>
        <w:t xml:space="preserve">Góra Kalwaria  </w:t>
      </w:r>
    </w:p>
    <w:bookmarkEnd w:id="26"/>
    <w:p w14:paraId="1CF204D0" w14:textId="77777777" w:rsidR="00EF1A17" w:rsidRPr="004E07DD" w:rsidRDefault="00EF1A17" w:rsidP="00EF1A17">
      <w:pPr>
        <w:rPr>
          <w:rFonts w:ascii="Times New Roman" w:hAnsi="Times New Roman" w:cs="Times New Roman"/>
          <w:b/>
          <w:bCs/>
          <w:color w:val="0070C0"/>
          <w:sz w:val="28"/>
          <w:szCs w:val="28"/>
        </w:rPr>
      </w:pPr>
    </w:p>
    <w:p w14:paraId="62FCEDAE" w14:textId="77777777" w:rsidR="00EF1A17" w:rsidRPr="00213798" w:rsidRDefault="00EF1A17" w:rsidP="00EF1A17">
      <w:pPr>
        <w:pStyle w:val="Default"/>
        <w:spacing w:line="276" w:lineRule="auto"/>
        <w:ind w:left="66" w:firstLine="360"/>
        <w:jc w:val="both"/>
        <w:rPr>
          <w:rFonts w:ascii="Times New Roman" w:hAnsi="Times New Roman" w:cs="Times New Roman"/>
          <w:color w:val="auto"/>
        </w:rPr>
      </w:pPr>
      <w:r w:rsidRPr="00213798">
        <w:rPr>
          <w:rFonts w:ascii="Times New Roman" w:hAnsi="Times New Roman" w:cs="Times New Roman"/>
          <w:color w:val="auto"/>
        </w:rPr>
        <w:t>Gminę Góra Kalwaria wyróżnia korzystna lokalizacja w obszarze metropolitalnym Warszawy. Dobre połączenia komunikacyjne z najważniejszymi ośrodkami rozwoju społeczno-gospodarczego zarówno w skali regionalnej jak i krajowej oraz międzynarodowej,</w:t>
      </w:r>
      <w:r w:rsidRPr="00213798">
        <w:rPr>
          <w:rFonts w:ascii="Times New Roman" w:eastAsia="Times New Roman" w:hAnsi="Times New Roman" w:cs="Times New Roman"/>
          <w:color w:val="auto"/>
          <w:lang w:eastAsia="pl-PL"/>
        </w:rPr>
        <w:t xml:space="preserve"> czynią z Góry Kalwarii miejsce atrakcyjne dla inwestorów</w:t>
      </w:r>
      <w:r w:rsidRPr="00213798">
        <w:rPr>
          <w:rFonts w:ascii="Times New Roman" w:hAnsi="Times New Roman" w:cs="Times New Roman"/>
          <w:color w:val="auto"/>
        </w:rPr>
        <w:t>. Na jej terenie znajduje się ważny nie tylko w skali regionalnej, ale i krajowej węzeł komunikacyjny- drogi krajowe 50 i 79 oraz droga wojewódzka 724. Poza tym</w:t>
      </w:r>
      <w:r w:rsidRPr="00213798">
        <w:rPr>
          <w:rFonts w:ascii="Times New Roman" w:eastAsia="Times New Roman" w:hAnsi="Times New Roman" w:cs="Times New Roman"/>
          <w:color w:val="auto"/>
          <w:lang w:eastAsia="pl-PL"/>
        </w:rPr>
        <w:t xml:space="preserve"> linia kolejowa nr 12 (Skierniewice – Łuków), umożliwia dogodne połączenie z całym krajem</w:t>
      </w:r>
      <w:r w:rsidRPr="00213798">
        <w:rPr>
          <w:rFonts w:ascii="Times New Roman" w:hAnsi="Times New Roman" w:cs="Times New Roman"/>
          <w:color w:val="auto"/>
        </w:rPr>
        <w:t>. Istotnym uwarunkowaniem rozwoju gminy jest położenie nad Wisłą. Na terenie gminy znajdują się dwa mosty drogowy i kolejowy. Atutem jest także bliskość międzynarodowego lotniska zlokalizowanego w Warszawie – por. Ryc. 1.</w:t>
      </w:r>
    </w:p>
    <w:p w14:paraId="1C372599" w14:textId="77777777" w:rsidR="00EF1A17" w:rsidRPr="00213798" w:rsidRDefault="00EF1A17" w:rsidP="00EF1A17">
      <w:pPr>
        <w:pStyle w:val="Default"/>
        <w:spacing w:line="276" w:lineRule="auto"/>
        <w:ind w:left="66" w:firstLine="360"/>
        <w:jc w:val="both"/>
        <w:rPr>
          <w:rFonts w:ascii="Times New Roman" w:hAnsi="Times New Roman" w:cs="Times New Roman"/>
          <w:color w:val="auto"/>
        </w:rPr>
      </w:pPr>
    </w:p>
    <w:p w14:paraId="0AAA1BF4" w14:textId="77777777" w:rsidR="00EF1A17" w:rsidRPr="004E07DD" w:rsidRDefault="00EF1A17" w:rsidP="00EF1A17">
      <w:pPr>
        <w:spacing w:after="0" w:line="240" w:lineRule="auto"/>
        <w:rPr>
          <w:rFonts w:ascii="Times New Roman" w:hAnsi="Times New Roman" w:cs="Times New Roman"/>
          <w:bCs/>
          <w:sz w:val="24"/>
          <w:szCs w:val="24"/>
        </w:rPr>
      </w:pPr>
      <w:bookmarkStart w:id="27" w:name="_Hlk119635142"/>
      <w:r w:rsidRPr="004E07DD">
        <w:rPr>
          <w:rFonts w:ascii="Times New Roman" w:hAnsi="Times New Roman" w:cs="Times New Roman"/>
          <w:bCs/>
          <w:sz w:val="24"/>
          <w:szCs w:val="24"/>
        </w:rPr>
        <w:t>Ryc. 1. Plan zagospodarowania obszaru przestrzennego miejskiego obszaru funkcjonalnego Warszawy. Stan zagospodarowania</w:t>
      </w:r>
    </w:p>
    <w:bookmarkEnd w:id="27"/>
    <w:p w14:paraId="3AFF0A0D" w14:textId="77777777" w:rsidR="00EF1A17" w:rsidRPr="00213798" w:rsidRDefault="00EF1A17" w:rsidP="00EF1A17">
      <w:pPr>
        <w:spacing w:after="0" w:line="240" w:lineRule="auto"/>
        <w:rPr>
          <w:rFonts w:ascii="Times New Roman" w:hAnsi="Times New Roman" w:cs="Times New Roman"/>
          <w:sz w:val="24"/>
          <w:szCs w:val="24"/>
        </w:rPr>
      </w:pPr>
      <w:r w:rsidRPr="00213798">
        <w:rPr>
          <w:rFonts w:ascii="Times New Roman" w:hAnsi="Times New Roman" w:cs="Times New Roman"/>
          <w:noProof/>
          <w:lang w:eastAsia="pl-PL"/>
        </w:rPr>
        <w:drawing>
          <wp:inline distT="0" distB="0" distL="0" distR="0" wp14:anchorId="1CB4B7BE" wp14:editId="5BF9A27A">
            <wp:extent cx="5828684" cy="3896139"/>
            <wp:effectExtent l="0" t="0" r="63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9279" t="30126" r="65463" b="9835"/>
                    <a:stretch/>
                  </pic:blipFill>
                  <pic:spPr bwMode="auto">
                    <a:xfrm>
                      <a:off x="0" y="0"/>
                      <a:ext cx="5864824" cy="3920297"/>
                    </a:xfrm>
                    <a:prstGeom prst="rect">
                      <a:avLst/>
                    </a:prstGeom>
                    <a:ln>
                      <a:noFill/>
                    </a:ln>
                    <a:extLst>
                      <a:ext uri="{53640926-AAD7-44D8-BBD7-CCE9431645EC}">
                        <a14:shadowObscured xmlns:a14="http://schemas.microsoft.com/office/drawing/2010/main"/>
                      </a:ext>
                    </a:extLst>
                  </pic:spPr>
                </pic:pic>
              </a:graphicData>
            </a:graphic>
          </wp:inline>
        </w:drawing>
      </w:r>
    </w:p>
    <w:p w14:paraId="65316737" w14:textId="77777777" w:rsidR="00EF1A17" w:rsidRPr="00636911" w:rsidRDefault="00EF1A17" w:rsidP="00636911">
      <w:pPr>
        <w:pStyle w:val="Default"/>
        <w:spacing w:line="276" w:lineRule="auto"/>
        <w:jc w:val="both"/>
        <w:rPr>
          <w:rFonts w:ascii="Times New Roman" w:hAnsi="Times New Roman" w:cs="Times New Roman"/>
          <w:bCs/>
          <w:iCs/>
          <w:color w:val="auto"/>
        </w:rPr>
      </w:pPr>
      <w:r w:rsidRPr="00636911">
        <w:rPr>
          <w:rFonts w:ascii="Times New Roman" w:hAnsi="Times New Roman" w:cs="Times New Roman"/>
          <w:bCs/>
          <w:iCs/>
        </w:rPr>
        <w:t>Źródło: Plan zagospodarowania przestrzennego województwa mazowieckiego. Warszawa 2018</w:t>
      </w:r>
    </w:p>
    <w:p w14:paraId="3351A8A9" w14:textId="77777777" w:rsidR="00EF1A17" w:rsidRPr="00636911" w:rsidRDefault="00EF1A17" w:rsidP="00EF1A17">
      <w:pPr>
        <w:pStyle w:val="Default"/>
        <w:spacing w:line="276" w:lineRule="auto"/>
        <w:ind w:left="66" w:firstLine="360"/>
        <w:jc w:val="both"/>
        <w:rPr>
          <w:rFonts w:ascii="Times New Roman" w:hAnsi="Times New Roman" w:cs="Times New Roman"/>
          <w:color w:val="auto"/>
        </w:rPr>
      </w:pPr>
    </w:p>
    <w:p w14:paraId="5EC022A6" w14:textId="77777777" w:rsidR="00EF1A17" w:rsidRPr="00213798" w:rsidRDefault="00EF1A17" w:rsidP="00EF1A17">
      <w:pPr>
        <w:pStyle w:val="Default"/>
        <w:spacing w:line="276" w:lineRule="auto"/>
        <w:ind w:firstLine="426"/>
        <w:jc w:val="both"/>
        <w:rPr>
          <w:rFonts w:ascii="Times New Roman" w:hAnsi="Times New Roman" w:cs="Times New Roman"/>
          <w:color w:val="auto"/>
        </w:rPr>
      </w:pPr>
      <w:r w:rsidRPr="00213798">
        <w:rPr>
          <w:rFonts w:ascii="Times New Roman" w:hAnsi="Times New Roman" w:cs="Times New Roman"/>
          <w:color w:val="auto"/>
        </w:rPr>
        <w:t xml:space="preserve">Mimo węzłowego położenia w skali regionalnej i krajowej w gminie uniknięto chaosu w zakresie zagospodarowania przestrzennego. Wykształciła się korzystna struktura funkcjonalno-przestrzenna gminy: część północna ma charakter przemysłowo-usługowy, w części centralnej przeważają funkcje mieszkaniowe i administracyjno-usługowe, a w południowej funkcje </w:t>
      </w:r>
      <w:r w:rsidRPr="00213798">
        <w:rPr>
          <w:rFonts w:ascii="Times New Roman" w:hAnsi="Times New Roman" w:cs="Times New Roman"/>
          <w:color w:val="auto"/>
        </w:rPr>
        <w:lastRenderedPageBreak/>
        <w:t>rolnicze, w tym sadownictwo, ogrodnictwo i lasy. Taka struktura funkcjonalno-przestrzenna daje wiele możliwości rozwoju m.in. w zakresie lokalizacji przemysłu, usług, administracji, mieszkalnictwa, wyspecjalizowanych rodzajów produkcji rolnej, w szczególności sadownictwa itp. Pozwala także na zachowanie i wzmocnienie istniejącego, znaczącego i wyjątkowego potencjału turystycznego z uwagi na walory przyrodnicze oraz bogatą przeszłość historyczną, która ma związek z jej unikatowym położeniem.</w:t>
      </w:r>
    </w:p>
    <w:p w14:paraId="0BFE308C" w14:textId="77777777" w:rsidR="00EF1A17" w:rsidRPr="00213798" w:rsidRDefault="00EF1A17" w:rsidP="00EF1A17">
      <w:pPr>
        <w:pStyle w:val="Default"/>
        <w:spacing w:line="276" w:lineRule="auto"/>
        <w:ind w:firstLine="708"/>
        <w:jc w:val="both"/>
        <w:rPr>
          <w:rFonts w:ascii="Times New Roman" w:hAnsi="Times New Roman" w:cs="Times New Roman"/>
          <w:color w:val="auto"/>
        </w:rPr>
      </w:pPr>
      <w:r w:rsidRPr="00213798">
        <w:rPr>
          <w:rFonts w:ascii="Times New Roman" w:hAnsi="Times New Roman" w:cs="Times New Roman"/>
          <w:bCs/>
          <w:color w:val="auto"/>
        </w:rPr>
        <w:t xml:space="preserve">Obszar gminy charakteryzuje się unikatowym zróżnicowaniem ukształtowania terenu, m.in. dzięki </w:t>
      </w:r>
      <w:r w:rsidRPr="00213798">
        <w:rPr>
          <w:rFonts w:ascii="Times New Roman" w:eastAsia="ArialMT" w:hAnsi="Times New Roman" w:cs="Times New Roman"/>
          <w:color w:val="auto"/>
        </w:rPr>
        <w:t xml:space="preserve">położeniu na terenie dwóch mezoregionów fizycznogeograficznych tj. Równiny Warszawskiej oraz Doliny Środkowej Wisły. Tworzy to atrakcyjne warunki dla rozwoju społeczno-gospodarczego. Strukturę osadniczą gminy Góra Kalwaria pokazuje </w:t>
      </w:r>
      <w:r w:rsidRPr="000915EA">
        <w:rPr>
          <w:rFonts w:ascii="Times New Roman" w:eastAsia="ArialMT" w:hAnsi="Times New Roman" w:cs="Times New Roman"/>
          <w:color w:val="auto"/>
        </w:rPr>
        <w:t>Ryc. 2</w:t>
      </w:r>
    </w:p>
    <w:p w14:paraId="3199101A" w14:textId="77777777" w:rsidR="00EF1A17" w:rsidRPr="00213798" w:rsidRDefault="00EF1A17" w:rsidP="00EF1A17">
      <w:pPr>
        <w:pStyle w:val="Default"/>
        <w:spacing w:line="276" w:lineRule="auto"/>
        <w:jc w:val="both"/>
        <w:rPr>
          <w:rFonts w:ascii="Times New Roman" w:hAnsi="Times New Roman" w:cs="Times New Roman"/>
          <w:b/>
          <w:bCs/>
          <w:color w:val="auto"/>
        </w:rPr>
      </w:pPr>
    </w:p>
    <w:p w14:paraId="580B737C" w14:textId="77777777" w:rsidR="00EF1A17" w:rsidRPr="00636911" w:rsidRDefault="00EF1A17" w:rsidP="00EF1A17">
      <w:pPr>
        <w:pStyle w:val="Default"/>
        <w:spacing w:line="276" w:lineRule="auto"/>
        <w:jc w:val="both"/>
        <w:rPr>
          <w:rFonts w:ascii="Times New Roman" w:hAnsi="Times New Roman" w:cs="Times New Roman"/>
          <w:color w:val="auto"/>
        </w:rPr>
      </w:pPr>
      <w:bookmarkStart w:id="28" w:name="_Hlk119635159"/>
      <w:r w:rsidRPr="00636911">
        <w:rPr>
          <w:rFonts w:ascii="Times New Roman" w:hAnsi="Times New Roman" w:cs="Times New Roman"/>
          <w:color w:val="auto"/>
        </w:rPr>
        <w:t>Ryc. 2. Struktura osadnicza i podstawowe elementy zagospodarowania przestrzennego gminy miejsko-wiejskiej Góra Kalwaria</w:t>
      </w:r>
    </w:p>
    <w:bookmarkEnd w:id="28"/>
    <w:p w14:paraId="4A5A452C" w14:textId="77777777" w:rsidR="00EF1A17" w:rsidRPr="00213798" w:rsidRDefault="00EF1A17" w:rsidP="00EF1A17">
      <w:pPr>
        <w:autoSpaceDE w:val="0"/>
        <w:autoSpaceDN w:val="0"/>
        <w:adjustRightInd w:val="0"/>
        <w:spacing w:after="0" w:line="240" w:lineRule="auto"/>
        <w:ind w:left="1068"/>
        <w:jc w:val="center"/>
        <w:rPr>
          <w:rFonts w:ascii="Times New Roman" w:hAnsi="Times New Roman" w:cs="Times New Roman"/>
          <w:sz w:val="24"/>
          <w:szCs w:val="24"/>
        </w:rPr>
      </w:pPr>
      <w:r w:rsidRPr="00213798">
        <w:rPr>
          <w:rFonts w:ascii="Times New Roman" w:hAnsi="Times New Roman" w:cs="Times New Roman"/>
          <w:noProof/>
          <w:lang w:eastAsia="pl-PL"/>
        </w:rPr>
        <w:drawing>
          <wp:inline distT="0" distB="0" distL="0" distR="0" wp14:anchorId="12DB13D7" wp14:editId="7994D9B2">
            <wp:extent cx="2411899" cy="3196742"/>
            <wp:effectExtent l="0" t="0" r="7620" b="381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14111" cy="3199674"/>
                    </a:xfrm>
                    <a:prstGeom prst="rect">
                      <a:avLst/>
                    </a:prstGeom>
                    <a:noFill/>
                    <a:ln>
                      <a:noFill/>
                    </a:ln>
                  </pic:spPr>
                </pic:pic>
              </a:graphicData>
            </a:graphic>
          </wp:inline>
        </w:drawing>
      </w:r>
    </w:p>
    <w:p w14:paraId="041C7CC2" w14:textId="77777777" w:rsidR="00EF1A17" w:rsidRPr="00213798" w:rsidRDefault="00EF1A17" w:rsidP="00EF1A17">
      <w:pPr>
        <w:autoSpaceDE w:val="0"/>
        <w:autoSpaceDN w:val="0"/>
        <w:adjustRightInd w:val="0"/>
        <w:spacing w:after="0" w:line="240"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Źródło: </w:t>
      </w:r>
      <w:r w:rsidRPr="00213798">
        <w:rPr>
          <w:rFonts w:ascii="Times New Roman" w:hAnsi="Times New Roman" w:cs="Times New Roman"/>
          <w:bCs/>
        </w:rPr>
        <w:t>Program Ochrony Środowiska dla Gminy Góra Kalwaria na lata 2017-2021 z perspektywą do roku 2024</w:t>
      </w:r>
    </w:p>
    <w:p w14:paraId="53EAD4CC" w14:textId="77777777" w:rsidR="00EF1A17" w:rsidRPr="00213798" w:rsidRDefault="00EF1A17" w:rsidP="00EF1A17">
      <w:pPr>
        <w:pStyle w:val="Default"/>
        <w:spacing w:line="276" w:lineRule="auto"/>
        <w:ind w:firstLine="360"/>
        <w:jc w:val="both"/>
        <w:rPr>
          <w:rFonts w:ascii="Times New Roman" w:hAnsi="Times New Roman" w:cs="Times New Roman"/>
          <w:b/>
        </w:rPr>
      </w:pPr>
    </w:p>
    <w:p w14:paraId="72F28A65" w14:textId="77777777" w:rsidR="00EF1A17" w:rsidRPr="00213798" w:rsidRDefault="00EF1A17" w:rsidP="00EF1A17">
      <w:pPr>
        <w:pStyle w:val="Default"/>
        <w:spacing w:line="276" w:lineRule="auto"/>
        <w:ind w:firstLine="360"/>
        <w:jc w:val="both"/>
        <w:rPr>
          <w:rFonts w:ascii="Times New Roman" w:hAnsi="Times New Roman" w:cs="Times New Roman"/>
          <w:bCs/>
        </w:rPr>
      </w:pPr>
      <w:r w:rsidRPr="00213798">
        <w:rPr>
          <w:rFonts w:ascii="Times New Roman" w:hAnsi="Times New Roman" w:cs="Times New Roman"/>
        </w:rPr>
        <w:t>Układ przestrzenno-funkcjonalny gminy miejsko-wiejskiej Góra Kalwaria określony został w dokumencie: „</w:t>
      </w:r>
      <w:r w:rsidRPr="00213798">
        <w:rPr>
          <w:rFonts w:ascii="Times New Roman" w:hAnsi="Times New Roman" w:cs="Times New Roman"/>
          <w:bCs/>
        </w:rPr>
        <w:t xml:space="preserve">Studium uwarunkowań i kierunków zagospodarowania przestrzennego Miasta i Gminy Góra Kalwaria. Kierunki zagospodarowania przestrzennego, </w:t>
      </w:r>
      <w:r w:rsidRPr="00213798">
        <w:rPr>
          <w:rFonts w:ascii="Times New Roman" w:hAnsi="Times New Roman" w:cs="Times New Roman"/>
        </w:rPr>
        <w:t xml:space="preserve">(ze zmianą dot.: fragmentów wsi: wsi Aleksandrów i Linin). </w:t>
      </w:r>
      <w:r w:rsidRPr="00213798">
        <w:rPr>
          <w:rFonts w:ascii="Times New Roman" w:hAnsi="Times New Roman" w:cs="Times New Roman"/>
          <w:bCs/>
        </w:rPr>
        <w:t>Sporządzający – burmistrz Miasta i Gminy Góra Kalwaria, Warszawa – czerwiec 2014”. Dokument ten wskazuje ramy wszelkich działań społeczno-gospodarczych dopuszczalnych i promowanych tak na obszarze miasta Góra Kalwaria, jak i na terenach wiejskich gminy Góra Kalwaria.</w:t>
      </w:r>
    </w:p>
    <w:p w14:paraId="5DB4414C" w14:textId="77777777" w:rsidR="00EF1A17" w:rsidRPr="00213798" w:rsidRDefault="00EF1A17" w:rsidP="00EF1A17">
      <w:pPr>
        <w:pStyle w:val="Default"/>
        <w:spacing w:line="276" w:lineRule="auto"/>
        <w:ind w:firstLine="348"/>
        <w:jc w:val="both"/>
        <w:rPr>
          <w:rFonts w:ascii="Times New Roman" w:hAnsi="Times New Roman" w:cs="Times New Roman"/>
        </w:rPr>
      </w:pPr>
      <w:r w:rsidRPr="00213798">
        <w:rPr>
          <w:rFonts w:ascii="Times New Roman" w:hAnsi="Times New Roman" w:cs="Times New Roman"/>
        </w:rPr>
        <w:t xml:space="preserve">Obowiązują określone w „Studium …” zasady, którym podlegają wszelkie formy działalności na obszarze 6 wyznaczonych stref funkcjonalno-przestrzennych gminy Góra Kalwaria – obszar tych stref pokazuje Ryc. 3. </w:t>
      </w:r>
    </w:p>
    <w:p w14:paraId="6739DD25" w14:textId="77777777" w:rsidR="00EF1A17" w:rsidRPr="00213798" w:rsidRDefault="00EF1A17" w:rsidP="00EF1A17">
      <w:pPr>
        <w:pStyle w:val="Default"/>
        <w:spacing w:line="276" w:lineRule="auto"/>
        <w:ind w:firstLine="348"/>
        <w:jc w:val="both"/>
        <w:rPr>
          <w:rFonts w:ascii="Times New Roman" w:hAnsi="Times New Roman" w:cs="Times New Roman"/>
        </w:rPr>
      </w:pPr>
    </w:p>
    <w:p w14:paraId="31E5BACB" w14:textId="7450D788" w:rsidR="00EF1A17" w:rsidRDefault="00EF1A17" w:rsidP="00EF1A17">
      <w:pPr>
        <w:pStyle w:val="Default"/>
        <w:spacing w:line="276" w:lineRule="auto"/>
        <w:ind w:firstLine="348"/>
        <w:jc w:val="both"/>
        <w:rPr>
          <w:rFonts w:ascii="Times New Roman" w:hAnsi="Times New Roman" w:cs="Times New Roman"/>
        </w:rPr>
      </w:pPr>
    </w:p>
    <w:p w14:paraId="747C9F25" w14:textId="77777777" w:rsidR="00EF1A17" w:rsidRPr="00213798" w:rsidRDefault="00EF1A17" w:rsidP="0007078D">
      <w:pPr>
        <w:pStyle w:val="Default"/>
        <w:spacing w:line="276" w:lineRule="auto"/>
        <w:jc w:val="both"/>
        <w:rPr>
          <w:rFonts w:ascii="Times New Roman" w:hAnsi="Times New Roman" w:cs="Times New Roman"/>
        </w:rPr>
      </w:pPr>
    </w:p>
    <w:p w14:paraId="6BF234DE" w14:textId="77777777" w:rsidR="00EF1A17" w:rsidRPr="00213798" w:rsidRDefault="00EF1A17" w:rsidP="00EF1A17">
      <w:pPr>
        <w:pStyle w:val="Default"/>
        <w:spacing w:line="276" w:lineRule="auto"/>
        <w:ind w:firstLine="348"/>
        <w:jc w:val="both"/>
        <w:rPr>
          <w:rFonts w:ascii="Times New Roman" w:hAnsi="Times New Roman" w:cs="Times New Roman"/>
        </w:rPr>
      </w:pPr>
    </w:p>
    <w:p w14:paraId="45E30E2D" w14:textId="77777777" w:rsidR="00EF1A17" w:rsidRPr="00213798" w:rsidRDefault="00EF1A17" w:rsidP="00EF1A17">
      <w:pPr>
        <w:pStyle w:val="Default"/>
        <w:spacing w:line="276" w:lineRule="auto"/>
        <w:ind w:firstLine="348"/>
        <w:jc w:val="both"/>
        <w:rPr>
          <w:rFonts w:ascii="Times New Roman" w:hAnsi="Times New Roman" w:cs="Times New Roman"/>
        </w:rPr>
      </w:pPr>
      <w:bookmarkStart w:id="29" w:name="_Hlk119635244"/>
      <w:r w:rsidRPr="00213798">
        <w:rPr>
          <w:rFonts w:ascii="Times New Roman" w:hAnsi="Times New Roman" w:cs="Times New Roman"/>
        </w:rPr>
        <w:t>Ryc. 3. Kierunki kształtowania struktury przestrzennej gminy Góra Kalwaria</w:t>
      </w:r>
    </w:p>
    <w:bookmarkEnd w:id="29"/>
    <w:p w14:paraId="32A3B2FC" w14:textId="77777777" w:rsidR="00EF1A17" w:rsidRPr="00213798" w:rsidRDefault="00EF1A17" w:rsidP="00EF1A17">
      <w:pPr>
        <w:pStyle w:val="Default"/>
        <w:spacing w:line="276" w:lineRule="auto"/>
        <w:ind w:left="720"/>
        <w:jc w:val="both"/>
        <w:rPr>
          <w:rFonts w:ascii="Times New Roman" w:hAnsi="Times New Roman" w:cs="Times New Roman"/>
        </w:rPr>
      </w:pPr>
      <w:r w:rsidRPr="00213798">
        <w:rPr>
          <w:rFonts w:ascii="Times New Roman" w:hAnsi="Times New Roman" w:cs="Times New Roman"/>
          <w:b/>
          <w:noProof/>
          <w:lang w:eastAsia="pl-PL"/>
        </w:rPr>
        <w:drawing>
          <wp:inline distT="0" distB="0" distL="0" distR="0" wp14:anchorId="5E708383" wp14:editId="1D72308D">
            <wp:extent cx="4850296" cy="6607533"/>
            <wp:effectExtent l="0" t="0" r="7620" b="317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4458" t="9315" r="4904" b="2725"/>
                    <a:stretch/>
                  </pic:blipFill>
                  <pic:spPr bwMode="auto">
                    <a:xfrm>
                      <a:off x="0" y="0"/>
                      <a:ext cx="4856688" cy="6616240"/>
                    </a:xfrm>
                    <a:prstGeom prst="rect">
                      <a:avLst/>
                    </a:prstGeom>
                    <a:noFill/>
                    <a:ln>
                      <a:noFill/>
                    </a:ln>
                    <a:extLst>
                      <a:ext uri="{53640926-AAD7-44D8-BBD7-CCE9431645EC}">
                        <a14:shadowObscured xmlns:a14="http://schemas.microsoft.com/office/drawing/2010/main"/>
                      </a:ext>
                    </a:extLst>
                  </pic:spPr>
                </pic:pic>
              </a:graphicData>
            </a:graphic>
          </wp:inline>
        </w:drawing>
      </w:r>
    </w:p>
    <w:p w14:paraId="4D1630D5" w14:textId="77777777" w:rsidR="00EF1A17" w:rsidRPr="00213798" w:rsidRDefault="00EF1A17" w:rsidP="00EF1A17">
      <w:pPr>
        <w:pStyle w:val="Default"/>
        <w:spacing w:line="276" w:lineRule="auto"/>
        <w:ind w:left="720"/>
        <w:jc w:val="both"/>
        <w:rPr>
          <w:rFonts w:ascii="Times New Roman" w:hAnsi="Times New Roman" w:cs="Times New Roman"/>
          <w:sz w:val="20"/>
          <w:szCs w:val="20"/>
        </w:rPr>
      </w:pPr>
      <w:r w:rsidRPr="00213798">
        <w:rPr>
          <w:rFonts w:ascii="Times New Roman" w:hAnsi="Times New Roman" w:cs="Times New Roman"/>
          <w:sz w:val="20"/>
          <w:szCs w:val="20"/>
        </w:rPr>
        <w:t xml:space="preserve">Źródło: </w:t>
      </w:r>
      <w:r w:rsidRPr="00213798">
        <w:rPr>
          <w:rFonts w:ascii="Times New Roman" w:hAnsi="Times New Roman" w:cs="Times New Roman"/>
          <w:bCs/>
          <w:sz w:val="20"/>
          <w:szCs w:val="20"/>
        </w:rPr>
        <w:t xml:space="preserve">Studium uwarunkowań i kierunków zagospodarowania przestrzennego Miasta i Gminy Góra Kalwaria. Kierunki zagospodarowania przestrzennego, </w:t>
      </w:r>
      <w:r w:rsidRPr="00213798">
        <w:rPr>
          <w:rFonts w:ascii="Times New Roman" w:hAnsi="Times New Roman" w:cs="Times New Roman"/>
          <w:sz w:val="20"/>
          <w:szCs w:val="20"/>
        </w:rPr>
        <w:t xml:space="preserve">(ze zmianą dot.: fragmentów wsi: wsi Aleksandrów i Linin). </w:t>
      </w:r>
      <w:r w:rsidRPr="00213798">
        <w:rPr>
          <w:rFonts w:ascii="Times New Roman" w:hAnsi="Times New Roman" w:cs="Times New Roman"/>
          <w:bCs/>
          <w:sz w:val="20"/>
          <w:szCs w:val="20"/>
        </w:rPr>
        <w:t>Sporządzający – burmistrz Miasta i Gminy Góra Kalwaria, Warszawa – czerwiec 2014</w:t>
      </w:r>
    </w:p>
    <w:p w14:paraId="675C3990" w14:textId="77777777" w:rsidR="00EF1A17" w:rsidRPr="00213798" w:rsidRDefault="00EF1A17" w:rsidP="00EF1A17">
      <w:pPr>
        <w:pStyle w:val="Default"/>
        <w:spacing w:line="276" w:lineRule="auto"/>
        <w:ind w:left="720"/>
        <w:jc w:val="both"/>
        <w:rPr>
          <w:rFonts w:ascii="Times New Roman" w:hAnsi="Times New Roman" w:cs="Times New Roman"/>
        </w:rPr>
      </w:pPr>
    </w:p>
    <w:p w14:paraId="58192F83" w14:textId="7F19E31B" w:rsidR="00EF1A17" w:rsidRDefault="00EF1A17" w:rsidP="00EF1A17">
      <w:pPr>
        <w:pStyle w:val="Default"/>
        <w:spacing w:line="276" w:lineRule="auto"/>
        <w:ind w:firstLine="348"/>
        <w:jc w:val="both"/>
        <w:rPr>
          <w:rFonts w:ascii="Times New Roman" w:hAnsi="Times New Roman" w:cs="Times New Roman"/>
        </w:rPr>
      </w:pPr>
      <w:r w:rsidRPr="00213798">
        <w:rPr>
          <w:rFonts w:ascii="Times New Roman" w:hAnsi="Times New Roman" w:cs="Times New Roman"/>
        </w:rPr>
        <w:t>Szczegółowe wskazania dotyczące dopuszczalnych sposobów zagospodarowania w poszczególnych strefach funkcjonalno-przestrzennych określa. „Studium…” w sposób następujący:</w:t>
      </w:r>
    </w:p>
    <w:p w14:paraId="1F2A881C" w14:textId="77777777" w:rsidR="0007078D" w:rsidRPr="00213798" w:rsidRDefault="0007078D" w:rsidP="00EF1A17">
      <w:pPr>
        <w:pStyle w:val="Default"/>
        <w:spacing w:line="276" w:lineRule="auto"/>
        <w:ind w:firstLine="348"/>
        <w:jc w:val="both"/>
        <w:rPr>
          <w:rFonts w:ascii="Times New Roman" w:hAnsi="Times New Roman" w:cs="Times New Roman"/>
        </w:rPr>
      </w:pPr>
    </w:p>
    <w:p w14:paraId="5940AB80"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b/>
          <w:bCs/>
        </w:rPr>
        <w:t xml:space="preserve">1/ Strefa centralna miasta Góra Kalwaria i miejscowości Czersk </w:t>
      </w:r>
    </w:p>
    <w:p w14:paraId="1F7614D2" w14:textId="07D31C02" w:rsidR="00EF1A17" w:rsidRPr="00213798" w:rsidRDefault="00EF1A17" w:rsidP="00161F03">
      <w:pPr>
        <w:pStyle w:val="Default"/>
        <w:spacing w:line="276" w:lineRule="auto"/>
        <w:ind w:firstLine="360"/>
        <w:jc w:val="both"/>
        <w:rPr>
          <w:rFonts w:ascii="Times New Roman" w:hAnsi="Times New Roman" w:cs="Times New Roman"/>
        </w:rPr>
      </w:pPr>
      <w:r w:rsidRPr="00213798">
        <w:rPr>
          <w:rFonts w:ascii="Times New Roman" w:hAnsi="Times New Roman" w:cs="Times New Roman"/>
        </w:rPr>
        <w:t>Miasto Góra Kalwaria to ośrodek administracyjno</w:t>
      </w:r>
      <w:r w:rsidR="000B14C0">
        <w:rPr>
          <w:rFonts w:ascii="Times New Roman" w:hAnsi="Times New Roman" w:cs="Times New Roman"/>
        </w:rPr>
        <w:t>-</w:t>
      </w:r>
      <w:r w:rsidRPr="00213798">
        <w:rPr>
          <w:rFonts w:ascii="Times New Roman" w:hAnsi="Times New Roman" w:cs="Times New Roman"/>
        </w:rPr>
        <w:t xml:space="preserve">usługowy, skupiający najważniejsze obiekty służące funkcjom o charakterze miejskim, jak również obsługującym całą gminę. Charakteryzuje się największym bogactwem miejsc i obiektów o pierwszorzędnym znaczeniu dla historii i kultury miasta oraz regionu. Powiązany z miastem Czersk jest wsią o dużej wartości historycznej, kulturowej i krajobrazowej. Przy rozwoju funkcji mieszkaniowej i usługowej może stać się istotnym ośrodkiem osadniczym w gminie. </w:t>
      </w:r>
    </w:p>
    <w:p w14:paraId="1009826D" w14:textId="77777777" w:rsidR="00EF1A17" w:rsidRPr="00213798" w:rsidRDefault="00EF1A17" w:rsidP="00161F03">
      <w:pPr>
        <w:pStyle w:val="Default"/>
        <w:spacing w:line="276" w:lineRule="auto"/>
        <w:jc w:val="both"/>
        <w:rPr>
          <w:rFonts w:ascii="Times New Roman" w:hAnsi="Times New Roman" w:cs="Times New Roman"/>
        </w:rPr>
      </w:pPr>
      <w:r w:rsidRPr="00213798">
        <w:rPr>
          <w:rFonts w:ascii="Times New Roman" w:hAnsi="Times New Roman" w:cs="Times New Roman"/>
        </w:rPr>
        <w:t xml:space="preserve">Główne kierunki zmian w zagospodarowaniu Góry Kalwarii obejmują: </w:t>
      </w:r>
    </w:p>
    <w:p w14:paraId="57DD43AC"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ochronę i rewaloryzację historycznego układu urbanistycznego oraz rewaloryzację historycznych kwartałów z możliwością uzupełnień, a także kontynuację zasady kwartału urbanistycznego przy kształtowaniu nowych terenów zabudowy, </w:t>
      </w:r>
    </w:p>
    <w:p w14:paraId="5E7A008A"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rewaloryzację zabytkowych koszar i ich adaptację dla potrzeb ogólnomiejskich i gminnych, </w:t>
      </w:r>
    </w:p>
    <w:p w14:paraId="09738CEC"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renowację istniejącej i tworzenie nowej zieleni miejskiej, w tym parków i skwerów miejskich, zieleni przyulicznej i zieleni skarpy wiślanej oraz zabytkowych cmentarzy, </w:t>
      </w:r>
    </w:p>
    <w:p w14:paraId="30F1E498"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priorytet dla lokalizacji obiektów użyteczności publicznej oraz wprowadzenie usług w parterach budynków, ze szczególnym uwzględnieniem przestrzeni publicznej ulic i placów, </w:t>
      </w:r>
    </w:p>
    <w:p w14:paraId="4ADB7129"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zagospodarowanie nowych terenów w sposób adekwatny do charakteru miasta i z udziałem funkcji miastotwórczych oraz przestrzeni publicznych, </w:t>
      </w:r>
    </w:p>
    <w:p w14:paraId="5F9118D8" w14:textId="77777777" w:rsidR="00EF1A17" w:rsidRPr="00213798" w:rsidRDefault="00EF1A17" w:rsidP="00161F03">
      <w:pPr>
        <w:pStyle w:val="Default"/>
        <w:numPr>
          <w:ilvl w:val="0"/>
          <w:numId w:val="44"/>
        </w:numPr>
        <w:spacing w:line="276" w:lineRule="auto"/>
        <w:jc w:val="both"/>
        <w:rPr>
          <w:rFonts w:ascii="Times New Roman" w:hAnsi="Times New Roman" w:cs="Times New Roman"/>
        </w:rPr>
      </w:pPr>
      <w:r w:rsidRPr="00213798">
        <w:rPr>
          <w:rFonts w:ascii="Times New Roman" w:hAnsi="Times New Roman" w:cs="Times New Roman"/>
        </w:rPr>
        <w:t xml:space="preserve">zakaz sytuowania uciążliwych i terenochłonnych obiektów produkcyjnych, rzemieślniczych, składowych i transportowych w centrum miasta. </w:t>
      </w:r>
    </w:p>
    <w:p w14:paraId="5C730656" w14:textId="77777777" w:rsidR="00EF1A17" w:rsidRPr="00213798" w:rsidRDefault="00EF1A17" w:rsidP="00161F03">
      <w:pPr>
        <w:pStyle w:val="Default"/>
        <w:spacing w:line="276" w:lineRule="auto"/>
        <w:jc w:val="both"/>
        <w:rPr>
          <w:rFonts w:ascii="Times New Roman" w:hAnsi="Times New Roman" w:cs="Times New Roman"/>
        </w:rPr>
      </w:pPr>
    </w:p>
    <w:p w14:paraId="43C6F259" w14:textId="77777777" w:rsidR="00EF1A17" w:rsidRPr="00213798" w:rsidRDefault="00EF1A17" w:rsidP="00161F03">
      <w:pPr>
        <w:pStyle w:val="Default"/>
        <w:spacing w:line="276" w:lineRule="auto"/>
        <w:jc w:val="both"/>
        <w:rPr>
          <w:rFonts w:ascii="Times New Roman" w:hAnsi="Times New Roman" w:cs="Times New Roman"/>
        </w:rPr>
      </w:pPr>
      <w:r w:rsidRPr="00213798">
        <w:rPr>
          <w:rFonts w:ascii="Times New Roman" w:hAnsi="Times New Roman" w:cs="Times New Roman"/>
        </w:rPr>
        <w:t xml:space="preserve">Główne kierunki zmian w zagospodarowaniu Czerska obejmują: </w:t>
      </w:r>
    </w:p>
    <w:p w14:paraId="424C29C2" w14:textId="77777777" w:rsidR="00EF1A17" w:rsidRPr="00213798" w:rsidRDefault="00EF1A17" w:rsidP="00161F03">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ochronę i rewaloryzację historycznego układu urbanistycznego z możliwością uzupełnień, </w:t>
      </w:r>
    </w:p>
    <w:p w14:paraId="7EEAC0C1" w14:textId="77777777" w:rsidR="00EF1A17" w:rsidRPr="00213798" w:rsidRDefault="00EF1A17" w:rsidP="00161F03">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stosowanie zasady kwartału urbanistycznego przy kształtowaniu nowych terenów zabudowy, </w:t>
      </w:r>
    </w:p>
    <w:p w14:paraId="0EF19EAF" w14:textId="77777777" w:rsidR="00EF1A17" w:rsidRPr="00213798" w:rsidRDefault="00EF1A17" w:rsidP="00161F03">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renowację istniejących i tworzenie nowych terenów zieleni, w tym skwerów miejskich, zieleni przyulicznej i zieleni Skarpy Wiślanej, </w:t>
      </w:r>
    </w:p>
    <w:p w14:paraId="666148B5" w14:textId="77777777" w:rsidR="00EF1A17" w:rsidRPr="00213798" w:rsidRDefault="00EF1A17" w:rsidP="00161F03">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priorytet dla lokalizacji obiektów użyteczności publicznej oraz usług z zakresu turystyki i gastronomii, ze szczególnym uwzględnieniem przestrzeni publicznej ulic i Placu Tysiąclecia, </w:t>
      </w:r>
    </w:p>
    <w:p w14:paraId="3D2F3D3E" w14:textId="77777777" w:rsidR="00EF1A17" w:rsidRPr="00213798" w:rsidRDefault="00EF1A17" w:rsidP="00161F03">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zakaz sytuowania uciążliwych i terenochłonnych obiektów produkcyjnych, rzemieślniczych, składowych i transportowych. </w:t>
      </w:r>
    </w:p>
    <w:p w14:paraId="584D462B" w14:textId="77777777" w:rsidR="00EF1A17" w:rsidRPr="00213798" w:rsidRDefault="00EF1A17" w:rsidP="00EF1A17">
      <w:pPr>
        <w:pStyle w:val="Default"/>
        <w:spacing w:line="276" w:lineRule="auto"/>
        <w:jc w:val="both"/>
        <w:rPr>
          <w:rFonts w:ascii="Times New Roman" w:hAnsi="Times New Roman" w:cs="Times New Roman"/>
        </w:rPr>
      </w:pPr>
    </w:p>
    <w:p w14:paraId="2789C6E0"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b/>
          <w:bCs/>
        </w:rPr>
        <w:t xml:space="preserve">2/ Strefa terenów upraw rolnych i sadowniczych </w:t>
      </w:r>
    </w:p>
    <w:p w14:paraId="6B9F3E63"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Tereny upraw rolnych i sadowniczych przeważają w południowej i wschodniej części gminy, znajdują się zarówno poniżej, jak i powyżej Skarpy Wiślanej. Występowanie bardzo dobrych gleb najwyższych klas bonitacyjnych, jak i wieloletnie lokalne tradycje w uprawie sadów są przesłanką do wyznaczenia obszarów rolniczej przestrzeni produkcyjnej i jej ochrony. </w:t>
      </w:r>
    </w:p>
    <w:p w14:paraId="572952F3"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lastRenderedPageBreak/>
        <w:t xml:space="preserve">Najważniejsze obszary przewidziane do koncentracji zabudowy mieszkaniowej (głównie siedliskowej i agroturystyki) oraz usług podstawowych to wsie: Coniew, Potycz, Pęcław, Sobików i Cendrowice, Brześce. Zwarte kompleksy terenów upraw rolnych i sadowniczych wskazuje się w sołectwach: Podosowa, Pęcław, Potycz, Podgóra, Coniew, Borki, Ostrówik, Buczynów, Aleksandrów, częściowo Wólka Dworska, Podłęcze, Wincentów, Brześce – część wschodnia, Moczydłów – część wschodnia, Czersk – tereny poniżej skarpy wiślanej, Brzumin, Kępa Radwankowska, Królewski Las, Linin, Czaplin oraz częściowo: Czaplinek, Sobików, Cendrowice, Obręb. </w:t>
      </w:r>
    </w:p>
    <w:p w14:paraId="67601F33"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rPr>
        <w:t xml:space="preserve">Główne kierunki zmian w zagospodarowaniu przestrzennym obejmują: </w:t>
      </w:r>
    </w:p>
    <w:p w14:paraId="6D99C915" w14:textId="77777777" w:rsidR="00EF1A17" w:rsidRPr="00213798" w:rsidRDefault="00EF1A17">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ograniczenie możliwości zabudowy na terenach upraw rolnych i sadowniczych (w tym możliwości lokalizacji zabudowy siedliskowej) i koncentrowanie nowej zabudowy w wyznaczonych miejscach, </w:t>
      </w:r>
    </w:p>
    <w:p w14:paraId="3FC41780" w14:textId="77777777" w:rsidR="00EF1A17" w:rsidRPr="00213798" w:rsidRDefault="00EF1A17">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wyznaczenie terenów dla kontynuacji, uzupełniania i podwyższania standardów zabudowy wzdłuż istniejących dróg publicznych, w miejscach wskazanych w rysunku studium, </w:t>
      </w:r>
    </w:p>
    <w:p w14:paraId="60C6607D" w14:textId="77777777" w:rsidR="00EF1A17" w:rsidRPr="00213798" w:rsidRDefault="00EF1A17">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wyznaczenie terenów kształtowania ośrodków wiejskich z uzupełnianiem i kontynuacją istniejącej zabudowy, </w:t>
      </w:r>
    </w:p>
    <w:p w14:paraId="35709731" w14:textId="77777777" w:rsidR="00EF1A17" w:rsidRPr="00213798" w:rsidRDefault="00EF1A17">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utrzymanie istniejących i promowanie nowych zakładów przetwórstwa rolnego i produkcji rolnej z dopuszczeniem ich przekształceń, </w:t>
      </w:r>
    </w:p>
    <w:p w14:paraId="3B650F56" w14:textId="77777777" w:rsidR="00EF1A17" w:rsidRPr="00213798" w:rsidRDefault="00EF1A17">
      <w:pPr>
        <w:pStyle w:val="Default"/>
        <w:numPr>
          <w:ilvl w:val="0"/>
          <w:numId w:val="45"/>
        </w:numPr>
        <w:spacing w:line="276" w:lineRule="auto"/>
        <w:jc w:val="both"/>
        <w:rPr>
          <w:rFonts w:ascii="Times New Roman" w:hAnsi="Times New Roman" w:cs="Times New Roman"/>
        </w:rPr>
      </w:pPr>
      <w:r w:rsidRPr="00213798">
        <w:rPr>
          <w:rFonts w:ascii="Times New Roman" w:hAnsi="Times New Roman" w:cs="Times New Roman"/>
        </w:rPr>
        <w:t xml:space="preserve">promowanie gospodarstw agroturystycznych przy zachowaniu wytycznych dla zabudowy mieszkaniowej . </w:t>
      </w:r>
    </w:p>
    <w:p w14:paraId="2F0A3C98" w14:textId="77777777" w:rsidR="00EF1A17" w:rsidRPr="00213798" w:rsidRDefault="00EF1A17" w:rsidP="00EF1A17">
      <w:pPr>
        <w:pStyle w:val="Default"/>
        <w:spacing w:line="276" w:lineRule="auto"/>
        <w:jc w:val="both"/>
        <w:rPr>
          <w:rFonts w:ascii="Times New Roman" w:hAnsi="Times New Roman" w:cs="Times New Roman"/>
        </w:rPr>
      </w:pPr>
    </w:p>
    <w:p w14:paraId="36C371B4"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b/>
          <w:bCs/>
        </w:rPr>
        <w:t xml:space="preserve">3 i 4/ Strefa terenów rekreacyjnych, mieszkaniowych oraz lasów i terenów otwartych </w:t>
      </w:r>
    </w:p>
    <w:p w14:paraId="02EDE21B" w14:textId="77777777" w:rsidR="00EF1A17" w:rsidRPr="00213798" w:rsidRDefault="00EF1A17" w:rsidP="00EF1A17">
      <w:pPr>
        <w:pStyle w:val="Default"/>
        <w:spacing w:line="276" w:lineRule="auto"/>
        <w:ind w:firstLine="708"/>
        <w:jc w:val="both"/>
        <w:rPr>
          <w:rFonts w:ascii="Times New Roman" w:hAnsi="Times New Roman" w:cs="Times New Roman"/>
        </w:rPr>
      </w:pPr>
      <w:r w:rsidRPr="00213798">
        <w:rPr>
          <w:rFonts w:ascii="Times New Roman" w:hAnsi="Times New Roman" w:cs="Times New Roman"/>
        </w:rPr>
        <w:t xml:space="preserve">Na terenach położonych głównie w północnej i zachodniej części gminy kształtują się zespoły zabudowy rozwijające się w oparciu o naturalne walory obszaru, w tym położenie blisko granic administracyjnych Warszawy i miasta powiatowego Piaseczno, atrakcyjny krajobraz wzbogacony licznymi lasami, korzystne warunki środowiska. Na te elementy w przyszłości nałoży się walor dobrej dostępności komunikacyjnej - po podwyższeniu parametrów technicznych drogi krajowej nr 79 Warszawa – Góra Kalwaria oraz po realizacji i uzupełnieniu sieci dróg powiatowych i gminnych. </w:t>
      </w:r>
    </w:p>
    <w:p w14:paraId="7B07E5DE" w14:textId="77777777" w:rsidR="00EF1A17" w:rsidRPr="00213798" w:rsidRDefault="00EF1A17" w:rsidP="00EF1A17">
      <w:pPr>
        <w:pStyle w:val="Default"/>
        <w:spacing w:line="276" w:lineRule="auto"/>
        <w:ind w:firstLine="708"/>
        <w:jc w:val="both"/>
        <w:rPr>
          <w:rFonts w:ascii="Times New Roman" w:hAnsi="Times New Roman" w:cs="Times New Roman"/>
        </w:rPr>
      </w:pPr>
      <w:r w:rsidRPr="00213798">
        <w:rPr>
          <w:rFonts w:ascii="Times New Roman" w:hAnsi="Times New Roman" w:cs="Times New Roman"/>
        </w:rPr>
        <w:t xml:space="preserve">Najważniejsze obszary dla zabudowy o charakterze strefy terenów rekreacyjnych, mieszkaniowych oraz lasów i terenów otwartych to wsie i ich okolice, takie jak: Dobiesz, Wojciechowice, Sierzchów, Czarny Las, Czachówek, Julianów, Krzaki Czaplinkowskie, Karolina – część zachodnia, Ługówka, część sołectw: Kąty, Tomice, Baniocha, Solec, Brześce, Sobików, Cendrowice, Wólka Załęska, Linin, Mikówiec, Czersk (część zachodnia), a także tereny pomiędzy rzeką Czarną a lasem we wsi Obręb. </w:t>
      </w:r>
    </w:p>
    <w:p w14:paraId="790A8177"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Główne kierunki zmian w zagospodarowaniu strefy terenów rekreacyjnych, mieszkaniowych oraz lasów i terenów otwartych obejmują: </w:t>
      </w:r>
    </w:p>
    <w:p w14:paraId="2315A0E7" w14:textId="77777777" w:rsidR="00EF1A17" w:rsidRPr="00213798" w:rsidRDefault="00EF1A17">
      <w:pPr>
        <w:pStyle w:val="Default"/>
        <w:numPr>
          <w:ilvl w:val="0"/>
          <w:numId w:val="46"/>
        </w:numPr>
        <w:spacing w:line="276" w:lineRule="auto"/>
        <w:jc w:val="both"/>
        <w:rPr>
          <w:rFonts w:ascii="Times New Roman" w:hAnsi="Times New Roman" w:cs="Times New Roman"/>
        </w:rPr>
      </w:pPr>
      <w:r w:rsidRPr="00213798">
        <w:rPr>
          <w:rFonts w:ascii="Times New Roman" w:hAnsi="Times New Roman" w:cs="Times New Roman"/>
        </w:rPr>
        <w:t xml:space="preserve">ochronę istniejących lasów i wyznaczenie terenów rolnych wskazanych do zalesień, </w:t>
      </w:r>
    </w:p>
    <w:p w14:paraId="0FCA7C56" w14:textId="77777777" w:rsidR="00EF1A17" w:rsidRPr="00213798" w:rsidRDefault="00EF1A17">
      <w:pPr>
        <w:pStyle w:val="Default"/>
        <w:numPr>
          <w:ilvl w:val="0"/>
          <w:numId w:val="46"/>
        </w:numPr>
        <w:spacing w:line="276" w:lineRule="auto"/>
        <w:jc w:val="both"/>
        <w:rPr>
          <w:rFonts w:ascii="Times New Roman" w:hAnsi="Times New Roman" w:cs="Times New Roman"/>
        </w:rPr>
      </w:pPr>
      <w:r w:rsidRPr="00213798">
        <w:rPr>
          <w:rFonts w:ascii="Times New Roman" w:hAnsi="Times New Roman" w:cs="Times New Roman"/>
        </w:rPr>
        <w:t xml:space="preserve">ochronę walorów dolin rzecznych i zakaz zabudowy w ich obszarze, </w:t>
      </w:r>
    </w:p>
    <w:p w14:paraId="6610AE7B" w14:textId="77777777" w:rsidR="00EF1A17" w:rsidRPr="00213798" w:rsidRDefault="00EF1A17">
      <w:pPr>
        <w:pStyle w:val="Default"/>
        <w:numPr>
          <w:ilvl w:val="0"/>
          <w:numId w:val="46"/>
        </w:numPr>
        <w:spacing w:line="276" w:lineRule="auto"/>
        <w:jc w:val="both"/>
        <w:rPr>
          <w:rFonts w:ascii="Times New Roman" w:hAnsi="Times New Roman" w:cs="Times New Roman"/>
        </w:rPr>
      </w:pPr>
      <w:r w:rsidRPr="00213798">
        <w:rPr>
          <w:rFonts w:ascii="Times New Roman" w:hAnsi="Times New Roman" w:cs="Times New Roman"/>
        </w:rPr>
        <w:t xml:space="preserve">wyznaczenie terenów dla kontynuacji, uzupełniania oraz podwyższania standardów istniejącej zabudowy, a także terenów dla nowej zabudowy, </w:t>
      </w:r>
    </w:p>
    <w:p w14:paraId="29028A37" w14:textId="77777777" w:rsidR="00EF1A17" w:rsidRPr="00213798" w:rsidRDefault="00EF1A17">
      <w:pPr>
        <w:pStyle w:val="Default"/>
        <w:numPr>
          <w:ilvl w:val="0"/>
          <w:numId w:val="47"/>
        </w:numPr>
        <w:spacing w:line="276" w:lineRule="auto"/>
        <w:jc w:val="both"/>
        <w:rPr>
          <w:rFonts w:ascii="Times New Roman" w:hAnsi="Times New Roman" w:cs="Times New Roman"/>
        </w:rPr>
      </w:pPr>
      <w:r w:rsidRPr="00213798">
        <w:rPr>
          <w:rFonts w:ascii="Times New Roman" w:hAnsi="Times New Roman" w:cs="Times New Roman"/>
        </w:rPr>
        <w:lastRenderedPageBreak/>
        <w:t xml:space="preserve">wskazanie terenów dla perspektywicznego rozwoju funkcji mieszkaniowej – w tym zabudowy jednorodzinnej i zabudowy jednorodzinnej na ponad normatywnych działkach, z priorytetem zachowania wartości krajobrazowych terenu, </w:t>
      </w:r>
    </w:p>
    <w:p w14:paraId="617D182D" w14:textId="77777777" w:rsidR="00EF1A17" w:rsidRPr="00213798" w:rsidRDefault="00EF1A17">
      <w:pPr>
        <w:pStyle w:val="Default"/>
        <w:numPr>
          <w:ilvl w:val="0"/>
          <w:numId w:val="47"/>
        </w:numPr>
        <w:spacing w:line="276" w:lineRule="auto"/>
        <w:jc w:val="both"/>
        <w:rPr>
          <w:rFonts w:ascii="Times New Roman" w:hAnsi="Times New Roman" w:cs="Times New Roman"/>
        </w:rPr>
      </w:pPr>
      <w:r w:rsidRPr="00213798">
        <w:rPr>
          <w:rFonts w:ascii="Times New Roman" w:hAnsi="Times New Roman" w:cs="Times New Roman"/>
        </w:rPr>
        <w:t xml:space="preserve">wskazanie obszarów lokalizacji nowych bądź adaptacji istniejących obiektów i urządzeń sportu, rekreacji i agroturystyki, </w:t>
      </w:r>
    </w:p>
    <w:p w14:paraId="17155908" w14:textId="77777777" w:rsidR="00EF1A17" w:rsidRPr="00213798" w:rsidRDefault="00EF1A17">
      <w:pPr>
        <w:pStyle w:val="Default"/>
        <w:numPr>
          <w:ilvl w:val="0"/>
          <w:numId w:val="47"/>
        </w:numPr>
        <w:spacing w:line="276" w:lineRule="auto"/>
        <w:jc w:val="both"/>
        <w:rPr>
          <w:rFonts w:ascii="Times New Roman" w:hAnsi="Times New Roman" w:cs="Times New Roman"/>
        </w:rPr>
      </w:pPr>
      <w:r w:rsidRPr="00213798">
        <w:rPr>
          <w:rFonts w:ascii="Times New Roman" w:hAnsi="Times New Roman" w:cs="Times New Roman"/>
        </w:rPr>
        <w:t xml:space="preserve">zakaz sytuowania uciążliwych i terenochłonnych obiektów produkcyjnych, rzemieślniczych, składowych i transportowych we wsiach: Dobiesz, Wojciechowice, Czachówek, Julianów, Krzaki Czaplinkowskie, Obręb oraz ograniczanie sytuowania takich obiektów w pozostałych wsiach strefy, w szczególności we wsiach Solec, Sierzchów, Tomice, Kąty i Czarny Las. </w:t>
      </w:r>
    </w:p>
    <w:p w14:paraId="290543DA" w14:textId="77777777" w:rsidR="00EF1A17" w:rsidRPr="00213798" w:rsidRDefault="00EF1A17" w:rsidP="00EF1A17">
      <w:pPr>
        <w:pStyle w:val="Default"/>
        <w:spacing w:line="276" w:lineRule="auto"/>
        <w:jc w:val="both"/>
        <w:rPr>
          <w:rFonts w:ascii="Times New Roman" w:hAnsi="Times New Roman" w:cs="Times New Roman"/>
          <w:b/>
          <w:bCs/>
        </w:rPr>
      </w:pPr>
    </w:p>
    <w:p w14:paraId="4A08C1A9" w14:textId="2EB2B72E"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b/>
          <w:bCs/>
        </w:rPr>
        <w:t xml:space="preserve">5/ Strefa usługowo-produkcyjna i serwisowa </w:t>
      </w:r>
    </w:p>
    <w:p w14:paraId="4CFA4477" w14:textId="26160F57" w:rsidR="00EF1A17" w:rsidRPr="00213798" w:rsidRDefault="00EF1A17" w:rsidP="00EF1A17">
      <w:pPr>
        <w:pStyle w:val="Default"/>
        <w:spacing w:line="276" w:lineRule="auto"/>
        <w:ind w:firstLine="708"/>
        <w:jc w:val="both"/>
        <w:rPr>
          <w:rFonts w:ascii="Times New Roman" w:hAnsi="Times New Roman" w:cs="Times New Roman"/>
        </w:rPr>
      </w:pPr>
      <w:r w:rsidRPr="00213798">
        <w:rPr>
          <w:rFonts w:ascii="Times New Roman" w:hAnsi="Times New Roman" w:cs="Times New Roman"/>
        </w:rPr>
        <w:t>W północno</w:t>
      </w:r>
      <w:r w:rsidR="000B14C0">
        <w:rPr>
          <w:rFonts w:ascii="Times New Roman" w:hAnsi="Times New Roman" w:cs="Times New Roman"/>
        </w:rPr>
        <w:t>-</w:t>
      </w:r>
      <w:r w:rsidRPr="00213798">
        <w:rPr>
          <w:rFonts w:ascii="Times New Roman" w:hAnsi="Times New Roman" w:cs="Times New Roman"/>
        </w:rPr>
        <w:t>zachodniej części gminy oraz na północno- zachodnim skraju miasta Góra Kalwaria, a także wzdłuż ważniejszych tras komunikacyjnych – dróg krajowych i wojewódzkich wyodrębnia się obszary należące do strefy usługowo – produkcyjnej i serwisowej. Obecnie znajduje się w niej wiele zróżnicowanych funkcjonalnie i nieuporządkowanych terenów i obiektów - głównie usług, składów, przetwórstwa i produkcji. W tej części również znajduje się zakład utylizacji odpadów Łubna oraz wieś Baniocha - duży ośrodek osadniczy bez wykształconych przestrzeni publicznych i właściwej komunikacji o funkcji mieszkaniowo</w:t>
      </w:r>
      <w:r w:rsidR="000B14C0">
        <w:rPr>
          <w:rFonts w:ascii="Times New Roman" w:hAnsi="Times New Roman" w:cs="Times New Roman"/>
        </w:rPr>
        <w:t>-</w:t>
      </w:r>
      <w:r w:rsidRPr="00213798">
        <w:rPr>
          <w:rFonts w:ascii="Times New Roman" w:hAnsi="Times New Roman" w:cs="Times New Roman"/>
        </w:rPr>
        <w:t xml:space="preserve">usługowej. Ta strefa powinna być porządkowana i rozbudowana według nowych standardów i z priorytetem właściwego kształtowania przestrzeni publicznych i półpublicznych, tworząc miejsca rozwoju przedsiębiorczości, wytwórczości i nowych technologii, dając miejsce pracy mieszkańcom gminy oraz umożliwiając jej dynamiczny rozwój. </w:t>
      </w:r>
    </w:p>
    <w:p w14:paraId="38215B6D"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Najważniejsze obszary przewidziane do koncentracji zabudowy o funkcji usługowej, produkcyjnej, składów i urządzeń infrastruktury technicznej, to: część wsi Szymanów, Łubna, Baniocha, sołectwo Moczydłów – część zachodnia i Moczydłów PGR, część miasta Góra Kalwaria (rejon ul. Adamowicza) Czaplinek i Czaplin przy drodze wojewódzkiej nr 50, Mikówiec – rejon ul. Adamowicza oraz Kąty i Tomice w rejonie Europejskiej, wschodnia część wsi Karolina, część wsi Potycz i Dębówka, rejon skrzyżowania z drogą powiatową nr 79 we wsi Solec. </w:t>
      </w:r>
    </w:p>
    <w:p w14:paraId="72BD4866"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Główne kierunki zmian w zagospodarowaniu przestrzennym obejmują: </w:t>
      </w:r>
    </w:p>
    <w:p w14:paraId="628F6F28" w14:textId="77777777" w:rsidR="00EF1A17" w:rsidRPr="00213798" w:rsidRDefault="00EF1A17">
      <w:pPr>
        <w:pStyle w:val="Default"/>
        <w:numPr>
          <w:ilvl w:val="0"/>
          <w:numId w:val="48"/>
        </w:numPr>
        <w:spacing w:line="276" w:lineRule="auto"/>
        <w:jc w:val="both"/>
        <w:rPr>
          <w:rFonts w:ascii="Times New Roman" w:hAnsi="Times New Roman" w:cs="Times New Roman"/>
        </w:rPr>
      </w:pPr>
      <w:r w:rsidRPr="00213798">
        <w:rPr>
          <w:rFonts w:ascii="Times New Roman" w:hAnsi="Times New Roman" w:cs="Times New Roman"/>
        </w:rPr>
        <w:t xml:space="preserve">wyznaczenie terenów dla perspektywicznego rozwoju funkcji produkcyjnej, składów, drobnej wytwórczości i usług komunikacyjnych oraz umożliwienie adaptacji istniejących obiektów w celu podwyższania standardów ich funkcjonowania, </w:t>
      </w:r>
    </w:p>
    <w:p w14:paraId="33A84658" w14:textId="77777777" w:rsidR="00EF1A17" w:rsidRPr="00213798" w:rsidRDefault="00EF1A17">
      <w:pPr>
        <w:pStyle w:val="Default"/>
        <w:numPr>
          <w:ilvl w:val="0"/>
          <w:numId w:val="48"/>
        </w:numPr>
        <w:spacing w:line="276" w:lineRule="auto"/>
        <w:jc w:val="both"/>
        <w:rPr>
          <w:rFonts w:ascii="Times New Roman" w:hAnsi="Times New Roman" w:cs="Times New Roman"/>
        </w:rPr>
      </w:pPr>
      <w:r w:rsidRPr="00213798">
        <w:rPr>
          <w:rFonts w:ascii="Times New Roman" w:hAnsi="Times New Roman" w:cs="Times New Roman"/>
        </w:rPr>
        <w:t xml:space="preserve">koncentrowanie opisanych funkcji wzdłuż dróg powiatowych, wojewódzkich i krajowych (z dostępnością poprzez drogi serwisowe lub odbarczające), na terenach po byłych Państwowych Gospodarstwach Rolnych i spółdzielniach specjalistycznych, w rejonie stacji kolejowych i w miejscach gdzie rozwój tych funkcji został już zapoczątkowany, o ile nie będzie to kolidowało z funkcją zabudowy mieszkaniowej, </w:t>
      </w:r>
    </w:p>
    <w:p w14:paraId="599F7EA0" w14:textId="77777777" w:rsidR="00EF1A17" w:rsidRPr="00213798" w:rsidRDefault="00EF1A17">
      <w:pPr>
        <w:pStyle w:val="Default"/>
        <w:numPr>
          <w:ilvl w:val="0"/>
          <w:numId w:val="48"/>
        </w:numPr>
        <w:spacing w:line="276" w:lineRule="auto"/>
        <w:jc w:val="both"/>
        <w:rPr>
          <w:rFonts w:ascii="Times New Roman" w:hAnsi="Times New Roman" w:cs="Times New Roman"/>
        </w:rPr>
      </w:pPr>
      <w:r w:rsidRPr="00213798">
        <w:rPr>
          <w:rFonts w:ascii="Times New Roman" w:hAnsi="Times New Roman" w:cs="Times New Roman"/>
        </w:rPr>
        <w:t xml:space="preserve">promowanie lokalizacji parków technologicznych i inkubatorów przedsiębiorczości, </w:t>
      </w:r>
    </w:p>
    <w:p w14:paraId="56C9A61A"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lokalizację zabudowy o funkcji mieszanej: usługowo – mieszkaniowej w otoczeniu terenów przemysłowych, w celu rozwoju małych przedsiębiorstw, </w:t>
      </w:r>
    </w:p>
    <w:p w14:paraId="10F61574"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lastRenderedPageBreak/>
        <w:t xml:space="preserve">uzupełnianie, modernizację istniejącej zabudowy mieszkaniowej, sąsiadującej z terenami produkcyjnymi, wraz z podejmowaniem działań w celu jej ochrony przed uciążliwościami, jakie może powodować funkcjonowanie obiektów na takich terenach, </w:t>
      </w:r>
    </w:p>
    <w:p w14:paraId="4BA1CD18"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rekultywację dawnych glinianek, zagospodarowanie ich zielenią dla celów usług, wypoczynku oraz sportu i włączenie części z nich w system terenów rekreacji dla strefy, </w:t>
      </w:r>
    </w:p>
    <w:p w14:paraId="1945F646"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promowanie business – parków, jako najlepszej formy wprowadzania funkcji laboratoryjnych, biurowych, nauki i współczesnych technologii w powiązaniu z zielenią, </w:t>
      </w:r>
    </w:p>
    <w:p w14:paraId="2C05AC21"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wskazanie terenów możliwej lokalizacji obiektów handlowych o powierzchni sprzedaży powyżej 2000 m2, przewidzianych dla usług handlu, ale też gastronomii, rozrywki, sportu, nauki, usługi specjalistyczne, usługi związane z obsługą komunikacji i transportu, biura, </w:t>
      </w:r>
    </w:p>
    <w:p w14:paraId="70A93983" w14:textId="375748F5"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rekultywację byłego wysypiska śmieci Łubna I i realizację zakładu utylizacji odpadów Łubna II według najnowszych technologii, nie powodujących uciążliwości dla środowiska, </w:t>
      </w:r>
    </w:p>
    <w:p w14:paraId="27105A64" w14:textId="77777777" w:rsidR="00EF1A17" w:rsidRPr="00213798" w:rsidRDefault="00EF1A17">
      <w:pPr>
        <w:pStyle w:val="Default"/>
        <w:numPr>
          <w:ilvl w:val="0"/>
          <w:numId w:val="49"/>
        </w:numPr>
        <w:spacing w:line="276" w:lineRule="auto"/>
        <w:jc w:val="both"/>
        <w:rPr>
          <w:rFonts w:ascii="Times New Roman" w:hAnsi="Times New Roman" w:cs="Times New Roman"/>
        </w:rPr>
      </w:pPr>
      <w:r w:rsidRPr="00213798">
        <w:rPr>
          <w:rFonts w:ascii="Times New Roman" w:hAnsi="Times New Roman" w:cs="Times New Roman"/>
        </w:rPr>
        <w:t xml:space="preserve">adaptację, rozbudowę i stałe podnoszenie standardów (w miarę rozwoju nowych technologii) oczyszczalni ścieków Moczydłów i przepompowni ścieków w Baniosze (docelowo przewidzianej jako oczyszczalnia ścieków). </w:t>
      </w:r>
    </w:p>
    <w:p w14:paraId="39687549" w14:textId="77777777" w:rsidR="00EF1A17" w:rsidRPr="00213798" w:rsidRDefault="00EF1A17" w:rsidP="00EF1A17">
      <w:pPr>
        <w:pStyle w:val="Default"/>
        <w:spacing w:line="276" w:lineRule="auto"/>
        <w:jc w:val="both"/>
        <w:rPr>
          <w:rFonts w:ascii="Times New Roman" w:hAnsi="Times New Roman" w:cs="Times New Roman"/>
          <w:b/>
          <w:bCs/>
        </w:rPr>
      </w:pPr>
    </w:p>
    <w:p w14:paraId="77684BE1"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b/>
          <w:bCs/>
        </w:rPr>
        <w:t xml:space="preserve">6/ Strefa doliny Wisły w międzywalu </w:t>
      </w:r>
    </w:p>
    <w:p w14:paraId="7733F92F" w14:textId="77777777"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Rzeka i dolina Wisły tworzą bardzo silny i znaczący ciąg ekologiczny, łączący wiele ekosystemów Mazowsza. Stanowi on przy tym fragment międzynarodowego korytarza ekologicznego łączącego Bałtyk z dorzeczem Dniestru i Dunaju, mającego ogromne znaczenie dla wędrówek ptaków. Jest ostoją gniazdowania ornitofauny, czego dowodem są liczne rezerwaty przyrody oraz miejscem zimowania rzadkich gatunków ptaków wodnych ze Skandynawii. Naturalna Wisła buduje różnorodność gatunkową i siedliskową, w tym ginących w Europie łęgów. Teren ten jest całkowicie wyłączony spod zabudowy i objęty różnymi formami ochrony, tj.: </w:t>
      </w:r>
    </w:p>
    <w:p w14:paraId="1FEB896C" w14:textId="77777777" w:rsidR="00EF1A17" w:rsidRPr="00213798" w:rsidRDefault="00EF1A17">
      <w:pPr>
        <w:pStyle w:val="Default"/>
        <w:numPr>
          <w:ilvl w:val="0"/>
          <w:numId w:val="50"/>
        </w:numPr>
        <w:spacing w:line="276" w:lineRule="auto"/>
        <w:jc w:val="both"/>
        <w:rPr>
          <w:rFonts w:ascii="Times New Roman" w:hAnsi="Times New Roman" w:cs="Times New Roman"/>
        </w:rPr>
      </w:pPr>
      <w:r w:rsidRPr="00213798">
        <w:rPr>
          <w:rFonts w:ascii="Times New Roman" w:hAnsi="Times New Roman" w:cs="Times New Roman"/>
        </w:rPr>
        <w:t xml:space="preserve">strefa szczególnej ochrony ekologicznej Warszawskiego Obszaru Krajobrazu Chronionego, </w:t>
      </w:r>
    </w:p>
    <w:p w14:paraId="2A03A5C3" w14:textId="77777777" w:rsidR="00EF1A17" w:rsidRPr="00213798" w:rsidRDefault="00EF1A17">
      <w:pPr>
        <w:pStyle w:val="Default"/>
        <w:numPr>
          <w:ilvl w:val="0"/>
          <w:numId w:val="50"/>
        </w:numPr>
        <w:spacing w:line="276" w:lineRule="auto"/>
        <w:jc w:val="both"/>
        <w:rPr>
          <w:rFonts w:ascii="Times New Roman" w:hAnsi="Times New Roman" w:cs="Times New Roman"/>
        </w:rPr>
      </w:pPr>
      <w:r w:rsidRPr="00213798">
        <w:rPr>
          <w:rFonts w:ascii="Times New Roman" w:hAnsi="Times New Roman" w:cs="Times New Roman"/>
        </w:rPr>
        <w:t xml:space="preserve">rezerwat Łachy Brzeskie, </w:t>
      </w:r>
    </w:p>
    <w:p w14:paraId="68FB0626" w14:textId="77777777" w:rsidR="00EF1A17" w:rsidRPr="00213798" w:rsidRDefault="00EF1A17">
      <w:pPr>
        <w:pStyle w:val="Default"/>
        <w:numPr>
          <w:ilvl w:val="0"/>
          <w:numId w:val="50"/>
        </w:numPr>
        <w:spacing w:line="276" w:lineRule="auto"/>
        <w:jc w:val="both"/>
        <w:rPr>
          <w:rFonts w:ascii="Times New Roman" w:hAnsi="Times New Roman" w:cs="Times New Roman"/>
        </w:rPr>
      </w:pPr>
      <w:r w:rsidRPr="00213798">
        <w:rPr>
          <w:rFonts w:ascii="Times New Roman" w:hAnsi="Times New Roman" w:cs="Times New Roman"/>
        </w:rPr>
        <w:t xml:space="preserve">obszar „Natura 2000”. </w:t>
      </w:r>
    </w:p>
    <w:p w14:paraId="70878CE1" w14:textId="03450F87" w:rsidR="00EF1A17" w:rsidRPr="00213798" w:rsidRDefault="00EF1A17" w:rsidP="00161F03">
      <w:pPr>
        <w:pStyle w:val="Default"/>
        <w:spacing w:line="276" w:lineRule="auto"/>
        <w:ind w:firstLine="360"/>
        <w:jc w:val="both"/>
        <w:rPr>
          <w:rFonts w:ascii="Times New Roman" w:hAnsi="Times New Roman" w:cs="Times New Roman"/>
        </w:rPr>
      </w:pPr>
      <w:r w:rsidRPr="00213798">
        <w:rPr>
          <w:rFonts w:ascii="Times New Roman" w:hAnsi="Times New Roman" w:cs="Times New Roman"/>
        </w:rPr>
        <w:t>Przewiduje się ochronę tego terenu i objęcie go całkowitym zakazem zabudowy, przekształceń lub użytkowania, powodującego zmiany w zagospodarowaniu oraz uciążliwości dla środowiska, z wyjątkiem terenów „Brzanki” oraz terenów podskarpowych miasta Góra Kalwaria, a w szczególności portu rzecznego, gdzie dopuszcza się realizację funkcji usługowych – sportu, turystyki, rekreacji i gastronomii.</w:t>
      </w:r>
    </w:p>
    <w:p w14:paraId="1B3494B2" w14:textId="465B7552"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Jak widać z przytoczonych wskazań istotnymi uwarunkowaniami ukształtowanego i realizowanego modelu struktury fun</w:t>
      </w:r>
      <w:r w:rsidR="00161F03">
        <w:rPr>
          <w:rFonts w:ascii="Times New Roman" w:hAnsi="Times New Roman" w:cs="Times New Roman"/>
        </w:rPr>
        <w:t>k</w:t>
      </w:r>
      <w:r w:rsidRPr="00213798">
        <w:rPr>
          <w:rFonts w:ascii="Times New Roman" w:hAnsi="Times New Roman" w:cs="Times New Roman"/>
        </w:rPr>
        <w:t xml:space="preserve">cjonalno-przestrzennej gminy Góra Kalwaria są występujące na obszarze gminy ograniczenia wynikające z występowania różnorodnych form ochrony przyrody. Wykaz tych form zawiera </w:t>
      </w:r>
      <w:r w:rsidRPr="000915EA">
        <w:rPr>
          <w:rFonts w:ascii="Times New Roman" w:hAnsi="Times New Roman" w:cs="Times New Roman"/>
        </w:rPr>
        <w:t xml:space="preserve">tabela </w:t>
      </w:r>
      <w:r w:rsidR="00636911" w:rsidRPr="000915EA">
        <w:rPr>
          <w:rFonts w:ascii="Times New Roman" w:hAnsi="Times New Roman" w:cs="Times New Roman"/>
        </w:rPr>
        <w:t>3</w:t>
      </w:r>
      <w:r w:rsidRPr="000915EA">
        <w:rPr>
          <w:rFonts w:ascii="Times New Roman" w:hAnsi="Times New Roman" w:cs="Times New Roman"/>
        </w:rPr>
        <w:t>.</w:t>
      </w:r>
    </w:p>
    <w:p w14:paraId="4B39208B" w14:textId="69DA46DE" w:rsidR="00EF1A17" w:rsidRPr="00213798"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rPr>
        <w:t xml:space="preserve">W szczególności na obszarze gminy obowiązują wskazania dotyczące ochrony wód powierzchniowych. Dotyczą one rzeki Czarna-Cedron oraz środkowego biegu rzeki Wisły. </w:t>
      </w:r>
      <w:r w:rsidRPr="00213798">
        <w:rPr>
          <w:rFonts w:ascii="Times New Roman" w:hAnsi="Times New Roman" w:cs="Times New Roman"/>
        </w:rPr>
        <w:lastRenderedPageBreak/>
        <w:t>Największą rzeką odwadniającą wysoczyznę polodowcową na której zlokalizowana jest gmina Góra Kalwaria jest rzeka Czarna, uchodząca do Wisły w miejscowości Ostrowik. Mniejsze rzeki spływające z obszaru wysoczyzny są zazwyczaj krótkie i uchodzą bezpośrednio do Wisły lub też zasilają obszary podmokłe, występujące u podnóża krawędzi wysoczyzny</w:t>
      </w:r>
      <w:r w:rsidRPr="00213798">
        <w:rPr>
          <w:rStyle w:val="Odwoanieprzypisudolnego"/>
          <w:rFonts w:ascii="Times New Roman" w:hAnsi="Times New Roman" w:cs="Times New Roman"/>
        </w:rPr>
        <w:footnoteReference w:id="1"/>
      </w:r>
      <w:r w:rsidRPr="00213798">
        <w:rPr>
          <w:rFonts w:ascii="Times New Roman" w:hAnsi="Times New Roman" w:cs="Times New Roman"/>
        </w:rPr>
        <w:t xml:space="preserve">. Na obszarze gminy znajdują się dwa punkty monitoringowe: Góra Kalwaria – ujście do Wisły na rzece Czarna-Cedron oraz Góra Kalwaria – most drogowy na Wiśle. W roku 2019 i 2021 dokonano oceny jednolitych części wód powierzchniowych, zgodnie z za-pisami Rozporządzenia Ministra Środowiska z dnia 20 sierpnia 2008 r. w sprawie sposobu klasyfikacji stanu jednolitych części wód powierzchniowych. Jakość wód w punkcie kontrolno-pomiarowym </w:t>
      </w:r>
      <w:r w:rsidRPr="000915EA">
        <w:rPr>
          <w:rFonts w:ascii="Times New Roman" w:hAnsi="Times New Roman" w:cs="Times New Roman"/>
        </w:rPr>
        <w:t>Góra Kalwaria – ujście do Wisły na rzece Czarna-Cedron oceniono jako zły – por</w:t>
      </w:r>
      <w:r w:rsidR="000915EA" w:rsidRPr="000915EA">
        <w:rPr>
          <w:rFonts w:ascii="Times New Roman" w:hAnsi="Times New Roman" w:cs="Times New Roman"/>
        </w:rPr>
        <w:t xml:space="preserve">ównaj </w:t>
      </w:r>
      <w:r w:rsidRPr="000915EA">
        <w:rPr>
          <w:rFonts w:ascii="Times New Roman" w:hAnsi="Times New Roman" w:cs="Times New Roman"/>
        </w:rPr>
        <w:t xml:space="preserve"> Tabela </w:t>
      </w:r>
      <w:r w:rsidR="00636911" w:rsidRPr="000915EA">
        <w:rPr>
          <w:rFonts w:ascii="Times New Roman" w:hAnsi="Times New Roman" w:cs="Times New Roman"/>
        </w:rPr>
        <w:t>4</w:t>
      </w:r>
      <w:r w:rsidRPr="000915EA">
        <w:rPr>
          <w:rFonts w:ascii="Times New Roman" w:hAnsi="Times New Roman" w:cs="Times New Roman"/>
        </w:rPr>
        <w:t>.</w:t>
      </w:r>
    </w:p>
    <w:p w14:paraId="69A250F5" w14:textId="77777777" w:rsidR="00EF1A17" w:rsidRPr="00213798" w:rsidRDefault="00EF1A17" w:rsidP="00EF1A17">
      <w:pPr>
        <w:pStyle w:val="Default"/>
        <w:spacing w:line="276" w:lineRule="auto"/>
        <w:jc w:val="both"/>
        <w:rPr>
          <w:rFonts w:ascii="Times New Roman" w:hAnsi="Times New Roman" w:cs="Times New Roman"/>
        </w:rPr>
      </w:pPr>
    </w:p>
    <w:p w14:paraId="1308A664" w14:textId="77777777" w:rsidR="00EF1A17" w:rsidRPr="00213798" w:rsidRDefault="00EF1A17" w:rsidP="00EF1A17">
      <w:pPr>
        <w:pStyle w:val="Default"/>
        <w:spacing w:line="276" w:lineRule="auto"/>
        <w:jc w:val="both"/>
        <w:rPr>
          <w:rFonts w:ascii="Times New Roman" w:hAnsi="Times New Roman" w:cs="Times New Roman"/>
        </w:rPr>
        <w:sectPr w:rsidR="00EF1A17" w:rsidRPr="00213798" w:rsidSect="004E4381">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417" w:left="1417" w:header="708" w:footer="708" w:gutter="0"/>
          <w:cols w:space="708"/>
          <w:titlePg/>
          <w:docGrid w:linePitch="360"/>
        </w:sectPr>
      </w:pPr>
    </w:p>
    <w:p w14:paraId="4DE40692" w14:textId="36FEAA7D" w:rsidR="00EF1A17" w:rsidRPr="00213798" w:rsidRDefault="00EF1A17" w:rsidP="00EF1A17">
      <w:pPr>
        <w:spacing w:after="120"/>
        <w:rPr>
          <w:rFonts w:ascii="Times New Roman" w:hAnsi="Times New Roman" w:cs="Times New Roman"/>
          <w:sz w:val="24"/>
          <w:szCs w:val="24"/>
        </w:rPr>
      </w:pPr>
      <w:bookmarkStart w:id="30" w:name="_Hlk119635332"/>
      <w:r w:rsidRPr="000915EA">
        <w:rPr>
          <w:rFonts w:ascii="Times New Roman" w:hAnsi="Times New Roman" w:cs="Times New Roman"/>
          <w:sz w:val="24"/>
          <w:szCs w:val="24"/>
        </w:rPr>
        <w:lastRenderedPageBreak/>
        <w:t xml:space="preserve">Tabela </w:t>
      </w:r>
      <w:r w:rsidR="00636911" w:rsidRPr="000915EA">
        <w:rPr>
          <w:rFonts w:ascii="Times New Roman" w:hAnsi="Times New Roman" w:cs="Times New Roman"/>
          <w:sz w:val="24"/>
          <w:szCs w:val="24"/>
        </w:rPr>
        <w:t>3</w:t>
      </w:r>
      <w:r w:rsidRPr="000915EA">
        <w:rPr>
          <w:rFonts w:ascii="Times New Roman" w:hAnsi="Times New Roman" w:cs="Times New Roman"/>
          <w:sz w:val="24"/>
          <w:szCs w:val="24"/>
        </w:rPr>
        <w:t>.</w:t>
      </w:r>
      <w:r w:rsidRPr="00213798">
        <w:rPr>
          <w:rFonts w:ascii="Times New Roman" w:hAnsi="Times New Roman" w:cs="Times New Roman"/>
          <w:sz w:val="24"/>
          <w:szCs w:val="24"/>
        </w:rPr>
        <w:t xml:space="preserve"> Wykaz obiektów przyrodniczych prawnie chronionych na obszarze gminy Góra Kalwaria wg stanu na 15.10.2022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5"/>
        <w:gridCol w:w="1221"/>
        <w:gridCol w:w="895"/>
        <w:gridCol w:w="1011"/>
        <w:gridCol w:w="1670"/>
        <w:gridCol w:w="953"/>
        <w:gridCol w:w="5031"/>
        <w:gridCol w:w="2028"/>
      </w:tblGrid>
      <w:tr w:rsidR="00EF1A17" w:rsidRPr="00213798" w14:paraId="1C3E5617" w14:textId="77777777" w:rsidTr="0007078D">
        <w:trPr>
          <w:tblHeader/>
        </w:trPr>
        <w:tc>
          <w:tcPr>
            <w:tcW w:w="424" w:type="pct"/>
            <w:shd w:val="clear" w:color="auto" w:fill="D9E2F3" w:themeFill="accent1" w:themeFillTint="33"/>
            <w:vAlign w:val="center"/>
            <w:hideMark/>
          </w:tcPr>
          <w:bookmarkEnd w:id="30"/>
          <w:p w14:paraId="3FDCEA61"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Forma obiektu</w:t>
            </w:r>
          </w:p>
        </w:tc>
        <w:tc>
          <w:tcPr>
            <w:tcW w:w="437" w:type="pct"/>
            <w:shd w:val="clear" w:color="auto" w:fill="D9E2F3" w:themeFill="accent1" w:themeFillTint="33"/>
            <w:vAlign w:val="center"/>
            <w:hideMark/>
          </w:tcPr>
          <w:p w14:paraId="19184ED4"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Nazwa</w:t>
            </w:r>
          </w:p>
        </w:tc>
        <w:tc>
          <w:tcPr>
            <w:tcW w:w="320" w:type="pct"/>
            <w:shd w:val="clear" w:color="auto" w:fill="D9E2F3" w:themeFill="accent1" w:themeFillTint="33"/>
            <w:vAlign w:val="center"/>
            <w:hideMark/>
          </w:tcPr>
          <w:p w14:paraId="5494C859"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Data utworzenia</w:t>
            </w:r>
          </w:p>
        </w:tc>
        <w:tc>
          <w:tcPr>
            <w:tcW w:w="357" w:type="pct"/>
            <w:shd w:val="clear" w:color="auto" w:fill="D9E2F3" w:themeFill="accent1" w:themeFillTint="33"/>
            <w:vAlign w:val="center"/>
            <w:hideMark/>
          </w:tcPr>
          <w:p w14:paraId="6AD6D40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Powierzchnia</w:t>
            </w:r>
          </w:p>
        </w:tc>
        <w:tc>
          <w:tcPr>
            <w:tcW w:w="597" w:type="pct"/>
            <w:shd w:val="clear" w:color="auto" w:fill="D9E2F3" w:themeFill="accent1" w:themeFillTint="33"/>
            <w:vAlign w:val="center"/>
            <w:hideMark/>
          </w:tcPr>
          <w:p w14:paraId="4E91C8C5"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Nadzorca</w:t>
            </w:r>
          </w:p>
        </w:tc>
        <w:tc>
          <w:tcPr>
            <w:tcW w:w="341" w:type="pct"/>
            <w:shd w:val="clear" w:color="auto" w:fill="D9E2F3" w:themeFill="accent1" w:themeFillTint="33"/>
            <w:vAlign w:val="center"/>
            <w:hideMark/>
          </w:tcPr>
          <w:p w14:paraId="49D00382"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Rodzaj aktu prawnego</w:t>
            </w:r>
          </w:p>
        </w:tc>
        <w:tc>
          <w:tcPr>
            <w:tcW w:w="1798" w:type="pct"/>
            <w:shd w:val="clear" w:color="auto" w:fill="D9E2F3" w:themeFill="accent1" w:themeFillTint="33"/>
            <w:vAlign w:val="center"/>
            <w:hideMark/>
          </w:tcPr>
          <w:p w14:paraId="4C23792D"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Nazwa aktu prawnego</w:t>
            </w:r>
          </w:p>
        </w:tc>
        <w:tc>
          <w:tcPr>
            <w:tcW w:w="725" w:type="pct"/>
            <w:shd w:val="clear" w:color="auto" w:fill="D9E2F3" w:themeFill="accent1" w:themeFillTint="33"/>
            <w:vAlign w:val="center"/>
            <w:hideMark/>
          </w:tcPr>
          <w:p w14:paraId="07ECA338"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Publikacja aktu prawnego</w:t>
            </w:r>
          </w:p>
        </w:tc>
      </w:tr>
      <w:tr w:rsidR="00EF1A17" w:rsidRPr="00213798" w14:paraId="5028DB33" w14:textId="77777777" w:rsidTr="00313DA6">
        <w:tc>
          <w:tcPr>
            <w:tcW w:w="424" w:type="pct"/>
            <w:shd w:val="clear" w:color="auto" w:fill="auto"/>
            <w:vAlign w:val="center"/>
            <w:hideMark/>
          </w:tcPr>
          <w:p w14:paraId="1E79736B"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Rezerwat przyrody</w:t>
            </w:r>
          </w:p>
        </w:tc>
        <w:tc>
          <w:tcPr>
            <w:tcW w:w="437" w:type="pct"/>
            <w:shd w:val="clear" w:color="auto" w:fill="auto"/>
            <w:vAlign w:val="center"/>
            <w:hideMark/>
          </w:tcPr>
          <w:p w14:paraId="344D9927"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Łachy Brzeskie</w:t>
            </w:r>
          </w:p>
        </w:tc>
        <w:tc>
          <w:tcPr>
            <w:tcW w:w="320" w:type="pct"/>
            <w:shd w:val="clear" w:color="auto" w:fill="auto"/>
            <w:vAlign w:val="center"/>
            <w:hideMark/>
          </w:tcPr>
          <w:p w14:paraId="1FF9395F"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1998-12-31</w:t>
            </w:r>
          </w:p>
        </w:tc>
        <w:tc>
          <w:tcPr>
            <w:tcW w:w="357" w:type="pct"/>
            <w:shd w:val="clear" w:color="auto" w:fill="auto"/>
            <w:vAlign w:val="center"/>
            <w:hideMark/>
          </w:tcPr>
          <w:p w14:paraId="371AC0F0"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476.3100</w:t>
            </w:r>
          </w:p>
        </w:tc>
        <w:tc>
          <w:tcPr>
            <w:tcW w:w="597" w:type="pct"/>
            <w:shd w:val="clear" w:color="auto" w:fill="auto"/>
            <w:vAlign w:val="center"/>
            <w:hideMark/>
          </w:tcPr>
          <w:p w14:paraId="18687F59"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Konieczność zmiany przepisów wskazujących sprawującego nadzór</w:t>
            </w:r>
          </w:p>
        </w:tc>
        <w:tc>
          <w:tcPr>
            <w:tcW w:w="341" w:type="pct"/>
            <w:shd w:val="clear" w:color="auto" w:fill="auto"/>
            <w:vAlign w:val="center"/>
            <w:hideMark/>
          </w:tcPr>
          <w:p w14:paraId="7BEA29BB"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utworzenie</w:t>
            </w:r>
          </w:p>
        </w:tc>
        <w:tc>
          <w:tcPr>
            <w:tcW w:w="1798" w:type="pct"/>
            <w:shd w:val="clear" w:color="auto" w:fill="auto"/>
            <w:vAlign w:val="center"/>
            <w:hideMark/>
          </w:tcPr>
          <w:p w14:paraId="614FF82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Rozporządzenie Ministra Ochrony Środowiska, Zasobów Naturalnych i Leśnictwa z dnia 23 grudnia 1998 r. w sprawie uznania za rezerwat przyrody</w:t>
            </w:r>
          </w:p>
        </w:tc>
        <w:tc>
          <w:tcPr>
            <w:tcW w:w="725" w:type="pct"/>
            <w:shd w:val="clear" w:color="auto" w:fill="auto"/>
            <w:vAlign w:val="center"/>
            <w:hideMark/>
          </w:tcPr>
          <w:p w14:paraId="53F098F5"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Dziennik Ustaw z 1998 r. Nr 166, poz. 1224</w:t>
            </w:r>
          </w:p>
        </w:tc>
      </w:tr>
      <w:tr w:rsidR="00EF1A17" w:rsidRPr="00213798" w14:paraId="7E519986" w14:textId="77777777" w:rsidTr="00313DA6">
        <w:tc>
          <w:tcPr>
            <w:tcW w:w="424" w:type="pct"/>
            <w:shd w:val="clear" w:color="auto" w:fill="auto"/>
            <w:vAlign w:val="center"/>
            <w:hideMark/>
          </w:tcPr>
          <w:p w14:paraId="4A6E1875"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437" w:type="pct"/>
            <w:shd w:val="clear" w:color="auto" w:fill="auto"/>
            <w:vAlign w:val="center"/>
            <w:hideMark/>
          </w:tcPr>
          <w:p w14:paraId="7CAD0DAD"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20" w:type="pct"/>
            <w:shd w:val="clear" w:color="auto" w:fill="auto"/>
            <w:vAlign w:val="center"/>
            <w:hideMark/>
          </w:tcPr>
          <w:p w14:paraId="15F2A980"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57" w:type="pct"/>
            <w:shd w:val="clear" w:color="auto" w:fill="auto"/>
            <w:vAlign w:val="center"/>
            <w:hideMark/>
          </w:tcPr>
          <w:p w14:paraId="195D4C86"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597" w:type="pct"/>
            <w:shd w:val="clear" w:color="auto" w:fill="auto"/>
            <w:vAlign w:val="center"/>
            <w:hideMark/>
          </w:tcPr>
          <w:p w14:paraId="2B4D6CE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41" w:type="pct"/>
            <w:shd w:val="clear" w:color="auto" w:fill="auto"/>
            <w:vAlign w:val="center"/>
            <w:hideMark/>
          </w:tcPr>
          <w:p w14:paraId="54587512"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zmiana</w:t>
            </w:r>
          </w:p>
        </w:tc>
        <w:tc>
          <w:tcPr>
            <w:tcW w:w="1798" w:type="pct"/>
            <w:shd w:val="clear" w:color="auto" w:fill="auto"/>
            <w:vAlign w:val="center"/>
            <w:hideMark/>
          </w:tcPr>
          <w:p w14:paraId="60901D7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xml:space="preserve">Rozporządzenie Nr 274 Wojewody Mazowieckiego z dnia 12 grudnia 2001 r. w sprawie ogłoszenia wykazu rezerwatów przyrody zlokalizowanych na terenie województwa mazowieckiego i utworzonych do dnia 31 grudnia 1998 roku </w:t>
            </w:r>
          </w:p>
        </w:tc>
        <w:tc>
          <w:tcPr>
            <w:tcW w:w="725" w:type="pct"/>
            <w:shd w:val="clear" w:color="auto" w:fill="auto"/>
            <w:vAlign w:val="center"/>
            <w:hideMark/>
          </w:tcPr>
          <w:p w14:paraId="13C8181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Dz. Urz. Województwa Mazowieckiego  z 2001 r. Nr 269, poz. 6860</w:t>
            </w:r>
          </w:p>
        </w:tc>
      </w:tr>
      <w:tr w:rsidR="00EF1A17" w:rsidRPr="00213798" w14:paraId="7392CF7A" w14:textId="77777777" w:rsidTr="00313DA6">
        <w:tc>
          <w:tcPr>
            <w:tcW w:w="424" w:type="pct"/>
            <w:shd w:val="clear" w:color="auto" w:fill="auto"/>
            <w:vAlign w:val="center"/>
            <w:hideMark/>
          </w:tcPr>
          <w:p w14:paraId="1B7BA218"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437" w:type="pct"/>
            <w:shd w:val="clear" w:color="auto" w:fill="auto"/>
            <w:vAlign w:val="center"/>
            <w:hideMark/>
          </w:tcPr>
          <w:p w14:paraId="7106224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20" w:type="pct"/>
            <w:shd w:val="clear" w:color="auto" w:fill="auto"/>
            <w:vAlign w:val="center"/>
            <w:hideMark/>
          </w:tcPr>
          <w:p w14:paraId="135EA490"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57" w:type="pct"/>
            <w:shd w:val="clear" w:color="auto" w:fill="auto"/>
            <w:vAlign w:val="center"/>
            <w:hideMark/>
          </w:tcPr>
          <w:p w14:paraId="30DBF1F8"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597" w:type="pct"/>
            <w:shd w:val="clear" w:color="auto" w:fill="auto"/>
            <w:vAlign w:val="center"/>
            <w:hideMark/>
          </w:tcPr>
          <w:p w14:paraId="00DE7FC7"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 </w:t>
            </w:r>
          </w:p>
        </w:tc>
        <w:tc>
          <w:tcPr>
            <w:tcW w:w="341" w:type="pct"/>
            <w:shd w:val="clear" w:color="auto" w:fill="auto"/>
            <w:vAlign w:val="center"/>
            <w:hideMark/>
          </w:tcPr>
          <w:p w14:paraId="72D8B01C"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plan ochrony</w:t>
            </w:r>
          </w:p>
        </w:tc>
        <w:tc>
          <w:tcPr>
            <w:tcW w:w="1798" w:type="pct"/>
            <w:shd w:val="clear" w:color="auto" w:fill="auto"/>
            <w:vAlign w:val="center"/>
            <w:hideMark/>
          </w:tcPr>
          <w:p w14:paraId="7DE91290"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Rozporządzenie Nr 59 Wojewody Mazowieckiego z dnia 8 grudnia 2003 r. w sprawie ustanowienia planu ochrony dla rezerwatu przyrody "Łachy Brzeskie"</w:t>
            </w:r>
          </w:p>
        </w:tc>
        <w:tc>
          <w:tcPr>
            <w:tcW w:w="725" w:type="pct"/>
            <w:shd w:val="clear" w:color="auto" w:fill="auto"/>
            <w:vAlign w:val="center"/>
            <w:hideMark/>
          </w:tcPr>
          <w:p w14:paraId="717A155F" w14:textId="77777777" w:rsidR="00EF1A17" w:rsidRPr="00213798" w:rsidRDefault="00EF1A17" w:rsidP="00313DA6">
            <w:pPr>
              <w:spacing w:after="0" w:line="240" w:lineRule="auto"/>
              <w:rPr>
                <w:rFonts w:ascii="Times New Roman" w:eastAsia="Times New Roman" w:hAnsi="Times New Roman" w:cs="Times New Roman"/>
                <w:sz w:val="16"/>
                <w:szCs w:val="16"/>
                <w:lang w:eastAsia="pl-PL"/>
              </w:rPr>
            </w:pPr>
            <w:r w:rsidRPr="00213798">
              <w:rPr>
                <w:rFonts w:ascii="Times New Roman" w:eastAsia="Times New Roman" w:hAnsi="Times New Roman" w:cs="Times New Roman"/>
                <w:sz w:val="16"/>
                <w:szCs w:val="16"/>
                <w:lang w:eastAsia="pl-PL"/>
              </w:rPr>
              <w:t>Dz. Urz. Województwa Mazowieckiego z 2003 r. Nr 306, poz. 8147</w:t>
            </w:r>
          </w:p>
        </w:tc>
      </w:tr>
      <w:tr w:rsidR="00EF1A17" w:rsidRPr="00213798" w14:paraId="25E10F6D" w14:textId="77777777" w:rsidTr="00313DA6">
        <w:tc>
          <w:tcPr>
            <w:tcW w:w="424" w:type="pct"/>
            <w:shd w:val="clear" w:color="auto" w:fill="auto"/>
            <w:vAlign w:val="center"/>
            <w:hideMark/>
          </w:tcPr>
          <w:p w14:paraId="622E5FC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Park krajobrazowy</w:t>
            </w:r>
          </w:p>
        </w:tc>
        <w:tc>
          <w:tcPr>
            <w:tcW w:w="437" w:type="pct"/>
            <w:shd w:val="clear" w:color="auto" w:fill="auto"/>
            <w:vAlign w:val="center"/>
            <w:hideMark/>
          </w:tcPr>
          <w:p w14:paraId="281E054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Chojnowski Park Krajobrazowy</w:t>
            </w:r>
          </w:p>
        </w:tc>
        <w:tc>
          <w:tcPr>
            <w:tcW w:w="320" w:type="pct"/>
            <w:shd w:val="clear" w:color="auto" w:fill="auto"/>
            <w:vAlign w:val="center"/>
            <w:hideMark/>
          </w:tcPr>
          <w:p w14:paraId="22BD4B6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1993-06-01</w:t>
            </w:r>
          </w:p>
        </w:tc>
        <w:tc>
          <w:tcPr>
            <w:tcW w:w="357" w:type="pct"/>
            <w:shd w:val="clear" w:color="auto" w:fill="auto"/>
            <w:vAlign w:val="center"/>
            <w:hideMark/>
          </w:tcPr>
          <w:p w14:paraId="5302D41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6796.0000</w:t>
            </w:r>
          </w:p>
        </w:tc>
        <w:tc>
          <w:tcPr>
            <w:tcW w:w="597" w:type="pct"/>
            <w:shd w:val="clear" w:color="auto" w:fill="auto"/>
            <w:vAlign w:val="center"/>
            <w:hideMark/>
          </w:tcPr>
          <w:p w14:paraId="2E8F1AC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konieczność zmiany przepisów wskazujących sprawującego nadzór</w:t>
            </w:r>
          </w:p>
        </w:tc>
        <w:tc>
          <w:tcPr>
            <w:tcW w:w="341" w:type="pct"/>
            <w:shd w:val="clear" w:color="auto" w:fill="auto"/>
            <w:vAlign w:val="center"/>
            <w:hideMark/>
          </w:tcPr>
          <w:p w14:paraId="4302DC0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FC0821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xml:space="preserve">Rozporządzenie Wojewody Warszawskiego z dnia 1 czerwca 1993 r. w sprawie utworzenia Chojnowskiego Parku Krajobrazowego </w:t>
            </w:r>
          </w:p>
        </w:tc>
        <w:tc>
          <w:tcPr>
            <w:tcW w:w="725" w:type="pct"/>
            <w:shd w:val="clear" w:color="auto" w:fill="auto"/>
            <w:vAlign w:val="center"/>
            <w:hideMark/>
          </w:tcPr>
          <w:p w14:paraId="774B7C0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 Warszawskiego Nr 9, poz. 100 z 15 czerwca 1993 r.</w:t>
            </w:r>
          </w:p>
        </w:tc>
      </w:tr>
      <w:tr w:rsidR="00EF1A17" w:rsidRPr="00213798" w14:paraId="44214E1B" w14:textId="77777777" w:rsidTr="00313DA6">
        <w:tc>
          <w:tcPr>
            <w:tcW w:w="424" w:type="pct"/>
            <w:shd w:val="clear" w:color="auto" w:fill="auto"/>
            <w:vAlign w:val="center"/>
            <w:hideMark/>
          </w:tcPr>
          <w:p w14:paraId="4619932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E2F0EB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E55651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3D14FE6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69715CD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D0445C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7F5C5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171 Wojewody Mazowieckiego</w:t>
            </w:r>
            <w:r w:rsidRPr="00213798">
              <w:rPr>
                <w:rFonts w:ascii="Times New Roman" w:eastAsia="Times New Roman" w:hAnsi="Times New Roman" w:cs="Times New Roman"/>
                <w:color w:val="000000"/>
                <w:sz w:val="16"/>
                <w:szCs w:val="16"/>
                <w:lang w:eastAsia="pl-PL"/>
              </w:rPr>
              <w:br/>
              <w:t>z dnia 18 października 2000 r. zmieniające rozporządzenie Wojewody Warszawskiego z dnia 1 czerwca 1993 r. w sprawie utworzenia Chojnowskiego Parku Krajobrazowego (Dz. Urz. Woj. Warsz. z dnia 15 czerwca 1993 r. Nr 9, poz. 100)</w:t>
            </w:r>
          </w:p>
        </w:tc>
        <w:tc>
          <w:tcPr>
            <w:tcW w:w="725" w:type="pct"/>
            <w:shd w:val="clear" w:color="auto" w:fill="auto"/>
            <w:vAlign w:val="center"/>
            <w:hideMark/>
          </w:tcPr>
          <w:p w14:paraId="5AAD444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 Mazowieckiego Nr 128, poz. 1226 z dnia 24 października 2000 r.</w:t>
            </w:r>
          </w:p>
        </w:tc>
      </w:tr>
      <w:tr w:rsidR="00EF1A17" w:rsidRPr="00213798" w14:paraId="56261CCD" w14:textId="77777777" w:rsidTr="00313DA6">
        <w:tc>
          <w:tcPr>
            <w:tcW w:w="424" w:type="pct"/>
            <w:shd w:val="clear" w:color="auto" w:fill="auto"/>
            <w:vAlign w:val="center"/>
            <w:hideMark/>
          </w:tcPr>
          <w:p w14:paraId="4CBE346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37EC4D8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F66D0D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2665B22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2671308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5F5E9BA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4B85565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xml:space="preserve">Rozporządzenie Nr 22 Wojewody Mazowieckiego z dnia 6 sierpnia 2004 r. zmieniające rozporządzenia w sprawie utworzenia Chojnowskiego Parku Krajobrazowego </w:t>
            </w:r>
          </w:p>
        </w:tc>
        <w:tc>
          <w:tcPr>
            <w:tcW w:w="725" w:type="pct"/>
            <w:shd w:val="clear" w:color="auto" w:fill="auto"/>
            <w:vAlign w:val="center"/>
            <w:hideMark/>
          </w:tcPr>
          <w:p w14:paraId="554F16A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 Mazowieckiego Nr 208, poz. 5580 z dnia 19 sierpnia 2004 r.</w:t>
            </w:r>
          </w:p>
        </w:tc>
      </w:tr>
      <w:tr w:rsidR="00EF1A17" w:rsidRPr="00213798" w14:paraId="0C9B2DB3" w14:textId="77777777" w:rsidTr="00313DA6">
        <w:tc>
          <w:tcPr>
            <w:tcW w:w="424" w:type="pct"/>
            <w:shd w:val="clear" w:color="auto" w:fill="auto"/>
            <w:vAlign w:val="center"/>
            <w:hideMark/>
          </w:tcPr>
          <w:p w14:paraId="0F2BCD8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1E785A7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A34017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82A0C5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027A5E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1C14F31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ABDFD6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6 Wojewody Mazowieckiego z dnia 4 kwietnia 2005 r.  uchylające rozporządzenie zmieniające rozporządzenie w sprawie utworzenia Chojnowskiego Parku Krajobrazowego.</w:t>
            </w:r>
          </w:p>
        </w:tc>
        <w:tc>
          <w:tcPr>
            <w:tcW w:w="725" w:type="pct"/>
            <w:shd w:val="clear" w:color="auto" w:fill="auto"/>
            <w:vAlign w:val="center"/>
            <w:hideMark/>
          </w:tcPr>
          <w:p w14:paraId="15AF995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 Mazowieckiego Nr 75, poz. 1975 z dnia 9 kwietnia 2005 r.</w:t>
            </w:r>
          </w:p>
        </w:tc>
      </w:tr>
      <w:tr w:rsidR="00EF1A17" w:rsidRPr="00213798" w14:paraId="4761F65C" w14:textId="77777777" w:rsidTr="00313DA6">
        <w:tc>
          <w:tcPr>
            <w:tcW w:w="424" w:type="pct"/>
            <w:shd w:val="clear" w:color="auto" w:fill="auto"/>
            <w:vAlign w:val="center"/>
            <w:hideMark/>
          </w:tcPr>
          <w:p w14:paraId="3834E63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071DDE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B5A805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29F9935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6697653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591321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4DE639B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7 Wojewody Mazowieckiego z dnia 4 kwietnia 2005 r. w sprawie Chojnowskiego Parku Krajobrazowego.</w:t>
            </w:r>
          </w:p>
        </w:tc>
        <w:tc>
          <w:tcPr>
            <w:tcW w:w="725" w:type="pct"/>
            <w:shd w:val="clear" w:color="auto" w:fill="auto"/>
            <w:vAlign w:val="center"/>
            <w:hideMark/>
          </w:tcPr>
          <w:p w14:paraId="14421D1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Nr 75, poz. 1976 z dnia 9 kwietnia 2005 r.</w:t>
            </w:r>
          </w:p>
        </w:tc>
      </w:tr>
      <w:tr w:rsidR="00EF1A17" w:rsidRPr="00213798" w14:paraId="552AB038" w14:textId="77777777" w:rsidTr="00313DA6">
        <w:tc>
          <w:tcPr>
            <w:tcW w:w="424" w:type="pct"/>
            <w:shd w:val="clear" w:color="auto" w:fill="auto"/>
            <w:vAlign w:val="center"/>
            <w:hideMark/>
          </w:tcPr>
          <w:p w14:paraId="1434F17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Obszar chronionego krajobrazu</w:t>
            </w:r>
          </w:p>
        </w:tc>
        <w:tc>
          <w:tcPr>
            <w:tcW w:w="437" w:type="pct"/>
            <w:shd w:val="clear" w:color="auto" w:fill="auto"/>
            <w:vAlign w:val="center"/>
            <w:hideMark/>
          </w:tcPr>
          <w:p w14:paraId="4E1FB44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Warszawski</w:t>
            </w:r>
          </w:p>
        </w:tc>
        <w:tc>
          <w:tcPr>
            <w:tcW w:w="320" w:type="pct"/>
            <w:shd w:val="clear" w:color="auto" w:fill="auto"/>
            <w:vAlign w:val="center"/>
            <w:hideMark/>
          </w:tcPr>
          <w:p w14:paraId="3154BA8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1997-10-01</w:t>
            </w:r>
          </w:p>
        </w:tc>
        <w:tc>
          <w:tcPr>
            <w:tcW w:w="357" w:type="pct"/>
            <w:shd w:val="clear" w:color="auto" w:fill="auto"/>
            <w:vAlign w:val="center"/>
            <w:hideMark/>
          </w:tcPr>
          <w:p w14:paraId="1A857F2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148409.1000</w:t>
            </w:r>
          </w:p>
        </w:tc>
        <w:tc>
          <w:tcPr>
            <w:tcW w:w="597" w:type="pct"/>
            <w:shd w:val="clear" w:color="auto" w:fill="auto"/>
            <w:vAlign w:val="center"/>
            <w:hideMark/>
          </w:tcPr>
          <w:p w14:paraId="0E6AC88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Marszałek Województwa Mazowieckiego</w:t>
            </w:r>
          </w:p>
        </w:tc>
        <w:tc>
          <w:tcPr>
            <w:tcW w:w="341" w:type="pct"/>
            <w:shd w:val="clear" w:color="auto" w:fill="auto"/>
            <w:vAlign w:val="center"/>
            <w:hideMark/>
          </w:tcPr>
          <w:p w14:paraId="319C2EC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4FBB373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Wojewody Warszawskiego z dnia 29 sierpnia 1997 r. w sprawie utworzenia obszaru chronionego krajobrazu na terenie województwa warszawskiego</w:t>
            </w:r>
          </w:p>
        </w:tc>
        <w:tc>
          <w:tcPr>
            <w:tcW w:w="725" w:type="pct"/>
            <w:shd w:val="clear" w:color="auto" w:fill="auto"/>
            <w:vAlign w:val="center"/>
            <w:hideMark/>
          </w:tcPr>
          <w:p w14:paraId="5C416E2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 Warszawskiego z 1997 r. Nr 43, poz. 149</w:t>
            </w:r>
          </w:p>
        </w:tc>
      </w:tr>
      <w:tr w:rsidR="00EF1A17" w:rsidRPr="00213798" w14:paraId="236C2579" w14:textId="77777777" w:rsidTr="00313DA6">
        <w:tc>
          <w:tcPr>
            <w:tcW w:w="424" w:type="pct"/>
            <w:shd w:val="clear" w:color="auto" w:fill="auto"/>
            <w:vAlign w:val="center"/>
            <w:hideMark/>
          </w:tcPr>
          <w:p w14:paraId="61B7321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4C090C0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21F051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4B13251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3881AB4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193D1A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EDEC2D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117</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3 sierpnia 2000 r.</w:t>
            </w:r>
            <w:r w:rsidRPr="00213798">
              <w:rPr>
                <w:rFonts w:ascii="Times New Roman" w:eastAsia="Times New Roman" w:hAnsi="Times New Roman" w:cs="Times New Roman"/>
                <w:color w:val="000000"/>
                <w:sz w:val="16"/>
                <w:szCs w:val="16"/>
                <w:lang w:eastAsia="pl-PL"/>
              </w:rPr>
              <w:br/>
              <w:t>w sprawie zmiany Rozporządzenia Wojewody Warszawskiego z dnia 29 sierpnia 1997r. w sprawie utworzenia obszaru chronionego krajobrazu na terenie województwa warszawskiego (Dz.Urz. Woj.Warsz. z dnia 16 września 1997r. Nr 43, poz. 149)</w:t>
            </w:r>
          </w:p>
        </w:tc>
        <w:tc>
          <w:tcPr>
            <w:tcW w:w="725" w:type="pct"/>
            <w:shd w:val="clear" w:color="auto" w:fill="auto"/>
            <w:vAlign w:val="center"/>
            <w:hideMark/>
          </w:tcPr>
          <w:p w14:paraId="42E6984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2000 r. Nr 93, poz. 911</w:t>
            </w:r>
          </w:p>
        </w:tc>
      </w:tr>
      <w:tr w:rsidR="00EF1A17" w:rsidRPr="00213798" w14:paraId="02C21D3E" w14:textId="77777777" w:rsidTr="00313DA6">
        <w:tc>
          <w:tcPr>
            <w:tcW w:w="424" w:type="pct"/>
            <w:shd w:val="clear" w:color="auto" w:fill="auto"/>
            <w:vAlign w:val="center"/>
            <w:hideMark/>
          </w:tcPr>
          <w:p w14:paraId="06E6525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 </w:t>
            </w:r>
          </w:p>
        </w:tc>
        <w:tc>
          <w:tcPr>
            <w:tcW w:w="437" w:type="pct"/>
            <w:shd w:val="clear" w:color="auto" w:fill="auto"/>
            <w:vAlign w:val="center"/>
            <w:hideMark/>
          </w:tcPr>
          <w:p w14:paraId="4CF1ED6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82E91A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2D9624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73F03C1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23D1BC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5D5EDBA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218</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6 lipca 2001 r.</w:t>
            </w:r>
            <w:r w:rsidRPr="00213798">
              <w:rPr>
                <w:rFonts w:ascii="Times New Roman" w:eastAsia="Times New Roman" w:hAnsi="Times New Roman" w:cs="Times New Roman"/>
                <w:color w:val="000000"/>
                <w:sz w:val="16"/>
                <w:szCs w:val="16"/>
                <w:lang w:eastAsia="pl-PL"/>
              </w:rPr>
              <w:br/>
              <w:t>w sprawie zmiany rozporządzenia Wojewody Warszawskiego z dnia 29 sierpnia 1997r. w sprawie utworzenia obszaru chronionego krajobrazu na terenie województwa warszawskiego w odniesieniu do opisu granic.</w:t>
            </w:r>
          </w:p>
        </w:tc>
        <w:tc>
          <w:tcPr>
            <w:tcW w:w="725" w:type="pct"/>
            <w:shd w:val="clear" w:color="auto" w:fill="auto"/>
            <w:vAlign w:val="center"/>
            <w:hideMark/>
          </w:tcPr>
          <w:p w14:paraId="1B1EAC3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2001 r. Nr 161, poz. 2363</w:t>
            </w:r>
          </w:p>
        </w:tc>
      </w:tr>
      <w:tr w:rsidR="00EF1A17" w:rsidRPr="00213798" w14:paraId="6E778189" w14:textId="77777777" w:rsidTr="00313DA6">
        <w:tc>
          <w:tcPr>
            <w:tcW w:w="424" w:type="pct"/>
            <w:shd w:val="clear" w:color="auto" w:fill="auto"/>
            <w:vAlign w:val="center"/>
            <w:hideMark/>
          </w:tcPr>
          <w:p w14:paraId="6BE883C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214423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E3DD99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5D0DE2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8E8554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141BE14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0C9E36E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57</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3 lipca 2002 r.</w:t>
            </w:r>
            <w:r w:rsidRPr="00213798">
              <w:rPr>
                <w:rFonts w:ascii="Times New Roman" w:eastAsia="Times New Roman" w:hAnsi="Times New Roman" w:cs="Times New Roman"/>
                <w:color w:val="000000"/>
                <w:sz w:val="16"/>
                <w:szCs w:val="16"/>
                <w:lang w:eastAsia="pl-PL"/>
              </w:rPr>
              <w:br/>
              <w:t>w sprawie obszaru chronionego krajobrazu.</w:t>
            </w:r>
          </w:p>
        </w:tc>
        <w:tc>
          <w:tcPr>
            <w:tcW w:w="725" w:type="pct"/>
            <w:shd w:val="clear" w:color="auto" w:fill="auto"/>
            <w:vAlign w:val="center"/>
            <w:hideMark/>
          </w:tcPr>
          <w:p w14:paraId="2CAC70F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2002 r. Nr 188, poz. 4306</w:t>
            </w:r>
          </w:p>
        </w:tc>
      </w:tr>
      <w:tr w:rsidR="00EF1A17" w:rsidRPr="00213798" w14:paraId="6B9AEB0D" w14:textId="77777777" w:rsidTr="00313DA6">
        <w:tc>
          <w:tcPr>
            <w:tcW w:w="424" w:type="pct"/>
            <w:shd w:val="clear" w:color="auto" w:fill="auto"/>
            <w:vAlign w:val="center"/>
            <w:hideMark/>
          </w:tcPr>
          <w:p w14:paraId="79B1469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20EF4AA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70FE37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7968DF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5D23ED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2DC1715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126933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2</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29 stycznia 2003 r.</w:t>
            </w:r>
            <w:r w:rsidRPr="00213798">
              <w:rPr>
                <w:rFonts w:ascii="Times New Roman" w:eastAsia="Times New Roman" w:hAnsi="Times New Roman" w:cs="Times New Roman"/>
                <w:color w:val="000000"/>
                <w:sz w:val="16"/>
                <w:szCs w:val="16"/>
                <w:lang w:eastAsia="pl-PL"/>
              </w:rPr>
              <w:br/>
              <w:t>w sprawie obszaru chronionego krajobrazu.</w:t>
            </w:r>
          </w:p>
        </w:tc>
        <w:tc>
          <w:tcPr>
            <w:tcW w:w="725" w:type="pct"/>
            <w:shd w:val="clear" w:color="auto" w:fill="auto"/>
            <w:vAlign w:val="center"/>
            <w:hideMark/>
          </w:tcPr>
          <w:p w14:paraId="6FE97E3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2003 r. Nr 38, poz. 1053</w:t>
            </w:r>
          </w:p>
        </w:tc>
      </w:tr>
      <w:tr w:rsidR="00EF1A17" w:rsidRPr="00213798" w14:paraId="7A12C258" w14:textId="77777777" w:rsidTr="00313DA6">
        <w:tc>
          <w:tcPr>
            <w:tcW w:w="424" w:type="pct"/>
            <w:shd w:val="clear" w:color="auto" w:fill="auto"/>
            <w:vAlign w:val="center"/>
            <w:hideMark/>
          </w:tcPr>
          <w:p w14:paraId="3138360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47E72F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20CD98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1200DBB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5F8E71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8C7779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1743A1D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3</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13 lutego 2007 r.</w:t>
            </w:r>
            <w:r w:rsidRPr="00213798">
              <w:rPr>
                <w:rFonts w:ascii="Times New Roman" w:eastAsia="Times New Roman" w:hAnsi="Times New Roman" w:cs="Times New Roman"/>
                <w:color w:val="000000"/>
                <w:sz w:val="16"/>
                <w:szCs w:val="16"/>
                <w:lang w:eastAsia="pl-PL"/>
              </w:rPr>
              <w:br/>
              <w:t>w sprawie Warszawskiego Obszaru Chronionego Krajobrazu.</w:t>
            </w:r>
          </w:p>
        </w:tc>
        <w:tc>
          <w:tcPr>
            <w:tcW w:w="725" w:type="pct"/>
            <w:shd w:val="clear" w:color="auto" w:fill="auto"/>
            <w:vAlign w:val="center"/>
            <w:hideMark/>
          </w:tcPr>
          <w:p w14:paraId="18A481C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2007 r. Nr 42, poz. 870</w:t>
            </w:r>
          </w:p>
        </w:tc>
      </w:tr>
      <w:tr w:rsidR="00EF1A17" w:rsidRPr="00213798" w14:paraId="67E4F54E" w14:textId="77777777" w:rsidTr="00313DA6">
        <w:tc>
          <w:tcPr>
            <w:tcW w:w="424" w:type="pct"/>
            <w:shd w:val="clear" w:color="auto" w:fill="auto"/>
            <w:vAlign w:val="center"/>
            <w:hideMark/>
          </w:tcPr>
          <w:p w14:paraId="3CB6A62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460FF2B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CDF2F3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49226D6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8CBD2F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4E696A0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D158B0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56</w:t>
            </w:r>
            <w:r w:rsidRPr="00213798">
              <w:rPr>
                <w:rFonts w:ascii="Times New Roman" w:eastAsia="Times New Roman" w:hAnsi="Times New Roman" w:cs="Times New Roman"/>
                <w:color w:val="000000"/>
                <w:sz w:val="16"/>
                <w:szCs w:val="16"/>
                <w:lang w:eastAsia="pl-PL"/>
              </w:rPr>
              <w:br/>
              <w:t>WOJEWODY MAZOWIECKIEGO</w:t>
            </w:r>
            <w:r w:rsidRPr="00213798">
              <w:rPr>
                <w:rFonts w:ascii="Times New Roman" w:eastAsia="Times New Roman" w:hAnsi="Times New Roman" w:cs="Times New Roman"/>
                <w:color w:val="000000"/>
                <w:sz w:val="16"/>
                <w:szCs w:val="16"/>
                <w:lang w:eastAsia="pl-PL"/>
              </w:rPr>
              <w:br/>
              <w:t>z dnia 13 października 2008 r.</w:t>
            </w:r>
            <w:r w:rsidRPr="00213798">
              <w:rPr>
                <w:rFonts w:ascii="Times New Roman" w:eastAsia="Times New Roman" w:hAnsi="Times New Roman" w:cs="Times New Roman"/>
                <w:color w:val="000000"/>
                <w:sz w:val="16"/>
                <w:szCs w:val="16"/>
                <w:lang w:eastAsia="pl-PL"/>
              </w:rPr>
              <w:br/>
              <w:t>zmieniające rozporządzenie w sprawie Warszawskiego Obszaru Chronionego Krajobrazu</w:t>
            </w:r>
          </w:p>
        </w:tc>
        <w:tc>
          <w:tcPr>
            <w:tcW w:w="725" w:type="pct"/>
            <w:shd w:val="clear" w:color="auto" w:fill="auto"/>
            <w:vAlign w:val="center"/>
            <w:hideMark/>
          </w:tcPr>
          <w:p w14:paraId="7E824D8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2008 r. Nr 185, poz. 6629</w:t>
            </w:r>
          </w:p>
        </w:tc>
      </w:tr>
      <w:tr w:rsidR="00EF1A17" w:rsidRPr="00213798" w14:paraId="2C8F78CC" w14:textId="77777777" w:rsidTr="00313DA6">
        <w:tc>
          <w:tcPr>
            <w:tcW w:w="424" w:type="pct"/>
            <w:shd w:val="clear" w:color="auto" w:fill="auto"/>
            <w:vAlign w:val="center"/>
            <w:hideMark/>
          </w:tcPr>
          <w:p w14:paraId="55A3934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7F55810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E44B86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D62F17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7D5C52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EF97D7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044E908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UCHWAŁA Nr 34/13</w:t>
            </w:r>
            <w:r w:rsidRPr="00213798">
              <w:rPr>
                <w:rFonts w:ascii="Times New Roman" w:eastAsia="Times New Roman" w:hAnsi="Times New Roman" w:cs="Times New Roman"/>
                <w:color w:val="000000"/>
                <w:sz w:val="16"/>
                <w:szCs w:val="16"/>
                <w:lang w:eastAsia="pl-PL"/>
              </w:rPr>
              <w:br/>
              <w:t>SEJMIKU WOJEWÓDZTWA MAZOWIECKIEGO</w:t>
            </w:r>
            <w:r w:rsidRPr="00213798">
              <w:rPr>
                <w:rFonts w:ascii="Times New Roman" w:eastAsia="Times New Roman" w:hAnsi="Times New Roman" w:cs="Times New Roman"/>
                <w:color w:val="000000"/>
                <w:sz w:val="16"/>
                <w:szCs w:val="16"/>
                <w:lang w:eastAsia="pl-PL"/>
              </w:rPr>
              <w:br/>
              <w:t>z dnia 18 lutego 2013 r.</w:t>
            </w:r>
            <w:r w:rsidRPr="00213798">
              <w:rPr>
                <w:rFonts w:ascii="Times New Roman" w:eastAsia="Times New Roman" w:hAnsi="Times New Roman" w:cs="Times New Roman"/>
                <w:color w:val="000000"/>
                <w:sz w:val="16"/>
                <w:szCs w:val="16"/>
                <w:lang w:eastAsia="pl-PL"/>
              </w:rPr>
              <w:br/>
              <w:t>zmieniająca niektóre rozporządzenia Wojewody Mazowieckiego dotyczące obszarów chronionego krajobrazu</w:t>
            </w:r>
          </w:p>
        </w:tc>
        <w:tc>
          <w:tcPr>
            <w:tcW w:w="725" w:type="pct"/>
            <w:shd w:val="clear" w:color="auto" w:fill="auto"/>
            <w:vAlign w:val="center"/>
            <w:hideMark/>
          </w:tcPr>
          <w:p w14:paraId="550B462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2013 r. poz. 2486</w:t>
            </w:r>
          </w:p>
        </w:tc>
      </w:tr>
      <w:tr w:rsidR="00EF1A17" w:rsidRPr="00213798" w14:paraId="3E51F54B" w14:textId="77777777" w:rsidTr="00313DA6">
        <w:tc>
          <w:tcPr>
            <w:tcW w:w="424" w:type="pct"/>
            <w:shd w:val="clear" w:color="auto" w:fill="auto"/>
            <w:vAlign w:val="center"/>
            <w:hideMark/>
          </w:tcPr>
          <w:p w14:paraId="171A052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Obszar natura 2000</w:t>
            </w:r>
          </w:p>
        </w:tc>
        <w:tc>
          <w:tcPr>
            <w:tcW w:w="437" w:type="pct"/>
            <w:shd w:val="clear" w:color="auto" w:fill="auto"/>
            <w:vAlign w:val="center"/>
            <w:hideMark/>
          </w:tcPr>
          <w:p w14:paraId="5C4450E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Łąki Soleckie</w:t>
            </w:r>
          </w:p>
        </w:tc>
        <w:tc>
          <w:tcPr>
            <w:tcW w:w="320" w:type="pct"/>
            <w:shd w:val="clear" w:color="auto" w:fill="auto"/>
            <w:vAlign w:val="center"/>
            <w:hideMark/>
          </w:tcPr>
          <w:p w14:paraId="43DFABE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2011-03-01</w:t>
            </w:r>
          </w:p>
        </w:tc>
        <w:tc>
          <w:tcPr>
            <w:tcW w:w="357" w:type="pct"/>
            <w:shd w:val="clear" w:color="auto" w:fill="auto"/>
            <w:vAlign w:val="center"/>
            <w:hideMark/>
          </w:tcPr>
          <w:p w14:paraId="76D32A9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222.0600</w:t>
            </w:r>
          </w:p>
        </w:tc>
        <w:tc>
          <w:tcPr>
            <w:tcW w:w="597" w:type="pct"/>
            <w:shd w:val="clear" w:color="auto" w:fill="auto"/>
            <w:vAlign w:val="center"/>
            <w:hideMark/>
          </w:tcPr>
          <w:p w14:paraId="1E15C2F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Regionalna Dyrekcja Ochrony Środowiska w Warszawie</w:t>
            </w:r>
          </w:p>
        </w:tc>
        <w:tc>
          <w:tcPr>
            <w:tcW w:w="341" w:type="pct"/>
            <w:shd w:val="clear" w:color="auto" w:fill="auto"/>
            <w:vAlign w:val="center"/>
            <w:hideMark/>
          </w:tcPr>
          <w:p w14:paraId="43E63F8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7320BD5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tc>
        <w:tc>
          <w:tcPr>
            <w:tcW w:w="725" w:type="pct"/>
            <w:shd w:val="clear" w:color="auto" w:fill="auto"/>
            <w:vAlign w:val="center"/>
            <w:hideMark/>
          </w:tcPr>
          <w:p w14:paraId="4A0BB60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Unii Europejskiej L 33 str. 146</w:t>
            </w:r>
          </w:p>
        </w:tc>
      </w:tr>
      <w:tr w:rsidR="00EF1A17" w:rsidRPr="00213798" w14:paraId="24D9EF9E" w14:textId="77777777" w:rsidTr="00313DA6">
        <w:tc>
          <w:tcPr>
            <w:tcW w:w="424" w:type="pct"/>
            <w:shd w:val="clear" w:color="auto" w:fill="auto"/>
            <w:vAlign w:val="center"/>
            <w:hideMark/>
          </w:tcPr>
          <w:p w14:paraId="693C092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Obszar natura 2000</w:t>
            </w:r>
          </w:p>
        </w:tc>
        <w:tc>
          <w:tcPr>
            <w:tcW w:w="437" w:type="pct"/>
            <w:shd w:val="clear" w:color="auto" w:fill="auto"/>
            <w:vAlign w:val="center"/>
            <w:hideMark/>
          </w:tcPr>
          <w:p w14:paraId="3F38CF6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Dolina Środkowej Wisły</w:t>
            </w:r>
          </w:p>
        </w:tc>
        <w:tc>
          <w:tcPr>
            <w:tcW w:w="320" w:type="pct"/>
            <w:shd w:val="clear" w:color="auto" w:fill="auto"/>
            <w:vAlign w:val="center"/>
            <w:hideMark/>
          </w:tcPr>
          <w:p w14:paraId="017963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2004-11-05</w:t>
            </w:r>
          </w:p>
        </w:tc>
        <w:tc>
          <w:tcPr>
            <w:tcW w:w="357" w:type="pct"/>
            <w:shd w:val="clear" w:color="auto" w:fill="auto"/>
            <w:vAlign w:val="center"/>
            <w:hideMark/>
          </w:tcPr>
          <w:p w14:paraId="28FA8BA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30777.8800</w:t>
            </w:r>
          </w:p>
        </w:tc>
        <w:tc>
          <w:tcPr>
            <w:tcW w:w="597" w:type="pct"/>
            <w:shd w:val="clear" w:color="auto" w:fill="auto"/>
            <w:vAlign w:val="center"/>
            <w:hideMark/>
          </w:tcPr>
          <w:p w14:paraId="2ECD683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Regionalna Dyrekcja Ochrony Środowiska w Warszawie</w:t>
            </w:r>
          </w:p>
        </w:tc>
        <w:tc>
          <w:tcPr>
            <w:tcW w:w="341" w:type="pct"/>
            <w:shd w:val="clear" w:color="auto" w:fill="auto"/>
            <w:vAlign w:val="center"/>
            <w:hideMark/>
          </w:tcPr>
          <w:p w14:paraId="1924727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26491FC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w:t>
            </w:r>
            <w:r w:rsidRPr="00213798">
              <w:rPr>
                <w:rFonts w:ascii="Times New Roman" w:eastAsia="Times New Roman" w:hAnsi="Times New Roman" w:cs="Times New Roman"/>
                <w:color w:val="000000"/>
                <w:sz w:val="16"/>
                <w:szCs w:val="16"/>
                <w:lang w:eastAsia="pl-PL"/>
              </w:rPr>
              <w:br/>
              <w:t>MINISTRA ŚRODOWISKA</w:t>
            </w:r>
            <w:r w:rsidRPr="00213798">
              <w:rPr>
                <w:rFonts w:ascii="Times New Roman" w:eastAsia="Times New Roman" w:hAnsi="Times New Roman" w:cs="Times New Roman"/>
                <w:color w:val="000000"/>
                <w:sz w:val="16"/>
                <w:szCs w:val="16"/>
                <w:lang w:eastAsia="pl-PL"/>
              </w:rPr>
              <w:br/>
              <w:t>z dnia 21 lipca 2004 r.</w:t>
            </w:r>
            <w:r w:rsidRPr="00213798">
              <w:rPr>
                <w:rFonts w:ascii="Times New Roman" w:eastAsia="Times New Roman" w:hAnsi="Times New Roman" w:cs="Times New Roman"/>
                <w:color w:val="000000"/>
                <w:sz w:val="16"/>
                <w:szCs w:val="16"/>
                <w:lang w:eastAsia="pl-PL"/>
              </w:rPr>
              <w:br/>
              <w:t>w sprawie obszarów specjalnej ochrony ptaków Natura 2000</w:t>
            </w:r>
          </w:p>
        </w:tc>
        <w:tc>
          <w:tcPr>
            <w:tcW w:w="725" w:type="pct"/>
            <w:shd w:val="clear" w:color="auto" w:fill="auto"/>
            <w:vAlign w:val="center"/>
            <w:hideMark/>
          </w:tcPr>
          <w:p w14:paraId="5E5603B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04.229.2313</w:t>
            </w:r>
          </w:p>
        </w:tc>
      </w:tr>
      <w:tr w:rsidR="00EF1A17" w:rsidRPr="00213798" w14:paraId="2F66290E" w14:textId="77777777" w:rsidTr="00313DA6">
        <w:tc>
          <w:tcPr>
            <w:tcW w:w="424" w:type="pct"/>
            <w:shd w:val="clear" w:color="auto" w:fill="auto"/>
            <w:vAlign w:val="center"/>
            <w:hideMark/>
          </w:tcPr>
          <w:p w14:paraId="57CA57E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089B8BD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52509D2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9A9F08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077C711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4C0A316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E15236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w:t>
            </w:r>
            <w:r w:rsidRPr="00213798">
              <w:rPr>
                <w:rFonts w:ascii="Times New Roman" w:eastAsia="Times New Roman" w:hAnsi="Times New Roman" w:cs="Times New Roman"/>
                <w:color w:val="000000"/>
                <w:sz w:val="16"/>
                <w:szCs w:val="16"/>
                <w:lang w:eastAsia="pl-PL"/>
              </w:rPr>
              <w:br/>
              <w:t>MINISTRA ŚRODOWISKA1)</w:t>
            </w:r>
            <w:r w:rsidRPr="00213798">
              <w:rPr>
                <w:rFonts w:ascii="Times New Roman" w:eastAsia="Times New Roman" w:hAnsi="Times New Roman" w:cs="Times New Roman"/>
                <w:color w:val="000000"/>
                <w:sz w:val="16"/>
                <w:szCs w:val="16"/>
                <w:lang w:eastAsia="pl-PL"/>
              </w:rPr>
              <w:br/>
              <w:t>z dnia 5 września 2007 r.</w:t>
            </w:r>
            <w:r w:rsidRPr="00213798">
              <w:rPr>
                <w:rFonts w:ascii="Times New Roman" w:eastAsia="Times New Roman" w:hAnsi="Times New Roman" w:cs="Times New Roman"/>
                <w:color w:val="000000"/>
                <w:sz w:val="16"/>
                <w:szCs w:val="16"/>
                <w:lang w:eastAsia="pl-PL"/>
              </w:rPr>
              <w:br/>
              <w:t>zmieniające rozporządzenie w sprawie obszarów specjalnej ochrony ptaków Natura 2000</w:t>
            </w:r>
          </w:p>
        </w:tc>
        <w:tc>
          <w:tcPr>
            <w:tcW w:w="725" w:type="pct"/>
            <w:shd w:val="clear" w:color="auto" w:fill="auto"/>
            <w:vAlign w:val="center"/>
            <w:hideMark/>
          </w:tcPr>
          <w:p w14:paraId="4BFC76C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Ustaw 2007.179.1275</w:t>
            </w:r>
          </w:p>
        </w:tc>
      </w:tr>
      <w:tr w:rsidR="00EF1A17" w:rsidRPr="00213798" w14:paraId="45EA73CD" w14:textId="77777777" w:rsidTr="00313DA6">
        <w:tc>
          <w:tcPr>
            <w:tcW w:w="424" w:type="pct"/>
            <w:shd w:val="clear" w:color="auto" w:fill="auto"/>
            <w:vAlign w:val="center"/>
            <w:hideMark/>
          </w:tcPr>
          <w:p w14:paraId="7D41D9B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24A6DA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5C5DFC7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1CABDFD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08B6F6D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E27CD9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080660D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w:t>
            </w:r>
            <w:r w:rsidRPr="00213798">
              <w:rPr>
                <w:rFonts w:ascii="Times New Roman" w:eastAsia="Times New Roman" w:hAnsi="Times New Roman" w:cs="Times New Roman"/>
                <w:color w:val="000000"/>
                <w:sz w:val="16"/>
                <w:szCs w:val="16"/>
                <w:lang w:eastAsia="pl-PL"/>
              </w:rPr>
              <w:br/>
              <w:t>MINISTRA ŚRODOWISKA</w:t>
            </w:r>
            <w:r w:rsidRPr="00213798">
              <w:rPr>
                <w:rFonts w:ascii="Times New Roman" w:eastAsia="Times New Roman" w:hAnsi="Times New Roman" w:cs="Times New Roman"/>
                <w:color w:val="000000"/>
                <w:sz w:val="16"/>
                <w:szCs w:val="16"/>
                <w:lang w:eastAsia="pl-PL"/>
              </w:rPr>
              <w:br/>
              <w:t>z dnia 27 października 2008 r.</w:t>
            </w:r>
            <w:r w:rsidRPr="00213798">
              <w:rPr>
                <w:rFonts w:ascii="Times New Roman" w:eastAsia="Times New Roman" w:hAnsi="Times New Roman" w:cs="Times New Roman"/>
                <w:color w:val="000000"/>
                <w:sz w:val="16"/>
                <w:szCs w:val="16"/>
                <w:lang w:eastAsia="pl-PL"/>
              </w:rPr>
              <w:br/>
            </w:r>
            <w:r w:rsidRPr="00213798">
              <w:rPr>
                <w:rFonts w:ascii="Times New Roman" w:eastAsia="Times New Roman" w:hAnsi="Times New Roman" w:cs="Times New Roman"/>
                <w:color w:val="000000"/>
                <w:sz w:val="16"/>
                <w:szCs w:val="16"/>
                <w:lang w:eastAsia="pl-PL"/>
              </w:rPr>
              <w:lastRenderedPageBreak/>
              <w:t>zmieniające rozporządzenie w sprawie obszarów specjalnej ochrony ptaków Natura 2000</w:t>
            </w:r>
          </w:p>
        </w:tc>
        <w:tc>
          <w:tcPr>
            <w:tcW w:w="725" w:type="pct"/>
            <w:shd w:val="clear" w:color="auto" w:fill="auto"/>
            <w:vAlign w:val="center"/>
            <w:hideMark/>
          </w:tcPr>
          <w:p w14:paraId="77BDC2E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Dziennik Ustaw 2008.198.1226</w:t>
            </w:r>
          </w:p>
        </w:tc>
      </w:tr>
      <w:tr w:rsidR="00EF1A17" w:rsidRPr="00213798" w14:paraId="72AA90B3" w14:textId="77777777" w:rsidTr="00313DA6">
        <w:tc>
          <w:tcPr>
            <w:tcW w:w="424" w:type="pct"/>
            <w:shd w:val="clear" w:color="auto" w:fill="auto"/>
            <w:vAlign w:val="center"/>
            <w:hideMark/>
          </w:tcPr>
          <w:p w14:paraId="4E696AB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3D2F05B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FFBB35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61B293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B08969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387065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plan ochrony</w:t>
            </w:r>
          </w:p>
        </w:tc>
        <w:tc>
          <w:tcPr>
            <w:tcW w:w="1798" w:type="pct"/>
            <w:shd w:val="clear" w:color="auto" w:fill="auto"/>
            <w:vAlign w:val="center"/>
            <w:hideMark/>
          </w:tcPr>
          <w:p w14:paraId="1E0BE4E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Zarządzenie Regionalnego Dyrektora Ochrony Środowiska w Warszawie i Regionalnego Dyrektora Ochrony Środowiska w Lublinie z dnia 24 kwietnia 2014r. w sprawie ustanowienia planu zadań ochronnych dla obszaru Natura 2000 Dolina Środkowej Wisły PLB140004 [Dziennik Urzędowy Województwa Mazowieckiego z 2014r. Poz. 4572]</w:t>
            </w:r>
            <w:r w:rsidRPr="00213798">
              <w:rPr>
                <w:rFonts w:ascii="Times New Roman" w:eastAsia="Times New Roman" w:hAnsi="Times New Roman" w:cs="Times New Roman"/>
                <w:color w:val="000000"/>
                <w:sz w:val="16"/>
                <w:szCs w:val="16"/>
                <w:lang w:eastAsia="pl-PL"/>
              </w:rPr>
              <w:br/>
              <w:t xml:space="preserve"> [Dziennik Urzędowy Województwa Lubelskiego z 2014r. Poz. 1853]</w:t>
            </w:r>
          </w:p>
        </w:tc>
        <w:tc>
          <w:tcPr>
            <w:tcW w:w="725" w:type="pct"/>
            <w:shd w:val="clear" w:color="auto" w:fill="auto"/>
            <w:vAlign w:val="center"/>
            <w:hideMark/>
          </w:tcPr>
          <w:p w14:paraId="4958E73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r>
      <w:tr w:rsidR="00EF1A17" w:rsidRPr="00213798" w14:paraId="2A3F9A17" w14:textId="77777777" w:rsidTr="00313DA6">
        <w:tc>
          <w:tcPr>
            <w:tcW w:w="424" w:type="pct"/>
            <w:shd w:val="clear" w:color="auto" w:fill="auto"/>
            <w:vAlign w:val="center"/>
            <w:hideMark/>
          </w:tcPr>
          <w:p w14:paraId="147E28E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46F4D65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39D014C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EB93D0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23680F1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A189AE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plan ochrony</w:t>
            </w:r>
          </w:p>
        </w:tc>
        <w:tc>
          <w:tcPr>
            <w:tcW w:w="1798" w:type="pct"/>
            <w:shd w:val="clear" w:color="auto" w:fill="auto"/>
            <w:vAlign w:val="center"/>
            <w:hideMark/>
          </w:tcPr>
          <w:p w14:paraId="4CFAB7A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Zarządzenie Regionalnego Dyrektora Ochrony Środowiska w Warszawie i Regionalnego Dyrektora Ochrony Środowiska w Lublinie z dnia 16 grudnia 2014r. zmieniajace zarządzenie w sprawie ustanowienia planu zadań ochronnych dla obszaru Natura 2000 Dolina Środkowej Wisły PLB140004 [Dziennik Urzędowy Województwa Mazowieckiego z 2014r. Poz. 11870]</w:t>
            </w:r>
            <w:r w:rsidRPr="00213798">
              <w:rPr>
                <w:rFonts w:ascii="Times New Roman" w:eastAsia="Times New Roman" w:hAnsi="Times New Roman" w:cs="Times New Roman"/>
                <w:color w:val="000000"/>
                <w:sz w:val="16"/>
                <w:szCs w:val="16"/>
                <w:lang w:eastAsia="pl-PL"/>
              </w:rPr>
              <w:br/>
              <w:t xml:space="preserve"> [Dziennik Urzędowy Województwa Lubelskiego z 2014r. Poz. 4592]</w:t>
            </w:r>
          </w:p>
        </w:tc>
        <w:tc>
          <w:tcPr>
            <w:tcW w:w="725" w:type="pct"/>
            <w:shd w:val="clear" w:color="auto" w:fill="auto"/>
            <w:vAlign w:val="center"/>
            <w:hideMark/>
          </w:tcPr>
          <w:p w14:paraId="49645C8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r>
      <w:tr w:rsidR="00EF1A17" w:rsidRPr="00213798" w14:paraId="21A8173F" w14:textId="77777777" w:rsidTr="00313DA6">
        <w:tc>
          <w:tcPr>
            <w:tcW w:w="424" w:type="pct"/>
            <w:shd w:val="clear" w:color="auto" w:fill="auto"/>
            <w:vAlign w:val="center"/>
            <w:hideMark/>
          </w:tcPr>
          <w:p w14:paraId="65072A6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EF2F7F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A20190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2C6BCD0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3EA61A1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054441F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plan ochrony</w:t>
            </w:r>
          </w:p>
        </w:tc>
        <w:tc>
          <w:tcPr>
            <w:tcW w:w="1798" w:type="pct"/>
            <w:shd w:val="clear" w:color="auto" w:fill="auto"/>
            <w:vAlign w:val="center"/>
            <w:hideMark/>
          </w:tcPr>
          <w:p w14:paraId="26A4925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Zarządzenie Regionalnego Dyrektora Ochrony Środowiska w Warszawie i Regionalnego Dyrektora Ochrony Środowiska w Lublinie z dnia 30 maja 2016r. zmieniajace zarządzenie w sprawie ustanowienia planu zadań ochronnych dla obszaru Natura 2000 Dolina Środkowej Wisły PLB140004 [Dziennik Urzędowy Województwa Wielkopolskiego z 2016r. Poz. 5083]</w:t>
            </w:r>
            <w:r w:rsidRPr="00213798">
              <w:rPr>
                <w:rFonts w:ascii="Times New Roman" w:eastAsia="Times New Roman" w:hAnsi="Times New Roman" w:cs="Times New Roman"/>
                <w:color w:val="000000"/>
                <w:sz w:val="16"/>
                <w:szCs w:val="16"/>
                <w:lang w:eastAsia="pl-PL"/>
              </w:rPr>
              <w:br/>
              <w:t xml:space="preserve"> [Dziennik Urzędowy Województwa Lubelskiego z 2016r. Poz. 2200]</w:t>
            </w:r>
          </w:p>
        </w:tc>
        <w:tc>
          <w:tcPr>
            <w:tcW w:w="725" w:type="pct"/>
            <w:shd w:val="clear" w:color="auto" w:fill="auto"/>
            <w:vAlign w:val="center"/>
            <w:hideMark/>
          </w:tcPr>
          <w:p w14:paraId="128F61D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r>
      <w:tr w:rsidR="00EF1A17" w:rsidRPr="00213798" w14:paraId="5B1B4106" w14:textId="77777777" w:rsidTr="00313DA6">
        <w:tc>
          <w:tcPr>
            <w:tcW w:w="424" w:type="pct"/>
            <w:shd w:val="clear" w:color="auto" w:fill="auto"/>
            <w:vAlign w:val="center"/>
            <w:hideMark/>
          </w:tcPr>
          <w:p w14:paraId="4890859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6B6179B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5878AD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1974-10-01</w:t>
            </w:r>
          </w:p>
        </w:tc>
        <w:tc>
          <w:tcPr>
            <w:tcW w:w="357" w:type="pct"/>
            <w:shd w:val="clear" w:color="auto" w:fill="auto"/>
            <w:vAlign w:val="center"/>
            <w:hideMark/>
          </w:tcPr>
          <w:p w14:paraId="0BE5614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79D0883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5007DB5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876553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505 z dnia 14 września 1974 r. o uznaniu za pomnik przyrody</w:t>
            </w:r>
          </w:p>
        </w:tc>
        <w:tc>
          <w:tcPr>
            <w:tcW w:w="725" w:type="pct"/>
            <w:shd w:val="clear" w:color="auto" w:fill="auto"/>
            <w:vAlign w:val="center"/>
            <w:hideMark/>
          </w:tcPr>
          <w:p w14:paraId="4EB0438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Wojewódzkiej Rady Narodowej w Warszawie z dnia 01.10.1974 r. Nr 19, poz. 236</w:t>
            </w:r>
          </w:p>
        </w:tc>
      </w:tr>
      <w:tr w:rsidR="00EF1A17" w:rsidRPr="00213798" w14:paraId="31A95218" w14:textId="77777777" w:rsidTr="00313DA6">
        <w:tc>
          <w:tcPr>
            <w:tcW w:w="424" w:type="pct"/>
            <w:shd w:val="clear" w:color="auto" w:fill="auto"/>
            <w:vAlign w:val="center"/>
            <w:hideMark/>
          </w:tcPr>
          <w:p w14:paraId="3F9A58C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1F4B81D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EC1B30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7FE192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A174EB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B34D8F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57464E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D50D93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2C7EF43B" w14:textId="77777777" w:rsidTr="00313DA6">
        <w:tc>
          <w:tcPr>
            <w:tcW w:w="424" w:type="pct"/>
            <w:shd w:val="clear" w:color="auto" w:fill="auto"/>
            <w:vAlign w:val="center"/>
            <w:hideMark/>
          </w:tcPr>
          <w:p w14:paraId="47BF310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0CC85F8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E05F8F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462DE32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6970B9C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2493898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4B105E3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370 Prezydenta Warszawy z dnia 30 lipca 1977 r. o uznaniu za pomnik przyrody</w:t>
            </w:r>
          </w:p>
        </w:tc>
        <w:tc>
          <w:tcPr>
            <w:tcW w:w="725" w:type="pct"/>
            <w:shd w:val="clear" w:color="auto" w:fill="auto"/>
            <w:vAlign w:val="center"/>
            <w:hideMark/>
          </w:tcPr>
          <w:p w14:paraId="4DFAE06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33EF6D50" w14:textId="77777777" w:rsidTr="00313DA6">
        <w:tc>
          <w:tcPr>
            <w:tcW w:w="424" w:type="pct"/>
            <w:shd w:val="clear" w:color="auto" w:fill="auto"/>
            <w:vAlign w:val="center"/>
            <w:hideMark/>
          </w:tcPr>
          <w:p w14:paraId="1D6C531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FBCD3D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A18300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3CF6801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79CB12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144BA8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4B4779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0A5D2F6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3D30A519" w14:textId="77777777" w:rsidTr="00313DA6">
        <w:tc>
          <w:tcPr>
            <w:tcW w:w="424" w:type="pct"/>
            <w:shd w:val="clear" w:color="auto" w:fill="auto"/>
            <w:vAlign w:val="center"/>
            <w:hideMark/>
          </w:tcPr>
          <w:p w14:paraId="03415E1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7DC2A15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Ksiąze Mazowiecki</w:t>
            </w:r>
          </w:p>
        </w:tc>
        <w:tc>
          <w:tcPr>
            <w:tcW w:w="320" w:type="pct"/>
            <w:shd w:val="clear" w:color="auto" w:fill="auto"/>
            <w:vAlign w:val="center"/>
            <w:hideMark/>
          </w:tcPr>
          <w:p w14:paraId="2EB5824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1976-08-16</w:t>
            </w:r>
          </w:p>
        </w:tc>
        <w:tc>
          <w:tcPr>
            <w:tcW w:w="357" w:type="pct"/>
            <w:shd w:val="clear" w:color="auto" w:fill="auto"/>
            <w:vAlign w:val="center"/>
            <w:hideMark/>
          </w:tcPr>
          <w:p w14:paraId="045369D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F10D9C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147EFA9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665F2F4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185 Prezydenta Warszawy z dnia 30 czerwca 1976 r. o uznaniu za pomnik przyrody</w:t>
            </w:r>
          </w:p>
        </w:tc>
        <w:tc>
          <w:tcPr>
            <w:tcW w:w="725" w:type="pct"/>
            <w:shd w:val="clear" w:color="auto" w:fill="auto"/>
            <w:vAlign w:val="center"/>
            <w:hideMark/>
          </w:tcPr>
          <w:p w14:paraId="6CA626F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16.08.1976 r. Nr 17, poz. 87</w:t>
            </w:r>
          </w:p>
        </w:tc>
      </w:tr>
      <w:tr w:rsidR="00EF1A17" w:rsidRPr="00213798" w14:paraId="3E67EFE1" w14:textId="77777777" w:rsidTr="00313DA6">
        <w:tc>
          <w:tcPr>
            <w:tcW w:w="424" w:type="pct"/>
            <w:shd w:val="clear" w:color="auto" w:fill="auto"/>
            <w:vAlign w:val="center"/>
            <w:hideMark/>
          </w:tcPr>
          <w:p w14:paraId="0E3A76B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73EA158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6482F2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4A46196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7E485DD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945563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408D2D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518D8D0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xml:space="preserve">Dziennik Urzędowy Województwa Mazowieckiego z dnia </w:t>
            </w:r>
            <w:r w:rsidRPr="00213798">
              <w:rPr>
                <w:rFonts w:ascii="Times New Roman" w:eastAsia="Times New Roman" w:hAnsi="Times New Roman" w:cs="Times New Roman"/>
                <w:color w:val="000000"/>
                <w:sz w:val="16"/>
                <w:szCs w:val="16"/>
                <w:lang w:eastAsia="pl-PL"/>
              </w:rPr>
              <w:lastRenderedPageBreak/>
              <w:t>31.07.2009 r. Nr 124, poz. 3630</w:t>
            </w:r>
          </w:p>
        </w:tc>
      </w:tr>
      <w:tr w:rsidR="00EF1A17" w:rsidRPr="00213798" w14:paraId="70C1F7ED" w14:textId="77777777" w:rsidTr="00313DA6">
        <w:tc>
          <w:tcPr>
            <w:tcW w:w="424" w:type="pct"/>
            <w:shd w:val="clear" w:color="auto" w:fill="auto"/>
            <w:vAlign w:val="center"/>
            <w:hideMark/>
          </w:tcPr>
          <w:p w14:paraId="346A564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Pomnik przyrody</w:t>
            </w:r>
          </w:p>
        </w:tc>
        <w:tc>
          <w:tcPr>
            <w:tcW w:w="437" w:type="pct"/>
            <w:shd w:val="clear" w:color="auto" w:fill="auto"/>
            <w:vAlign w:val="center"/>
            <w:hideMark/>
          </w:tcPr>
          <w:p w14:paraId="6E7C4C2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Mały Jacek</w:t>
            </w:r>
          </w:p>
        </w:tc>
        <w:tc>
          <w:tcPr>
            <w:tcW w:w="320" w:type="pct"/>
            <w:shd w:val="clear" w:color="auto" w:fill="auto"/>
            <w:vAlign w:val="center"/>
            <w:hideMark/>
          </w:tcPr>
          <w:p w14:paraId="3181C7F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1976-08-16</w:t>
            </w:r>
          </w:p>
        </w:tc>
        <w:tc>
          <w:tcPr>
            <w:tcW w:w="357" w:type="pct"/>
            <w:shd w:val="clear" w:color="auto" w:fill="auto"/>
            <w:vAlign w:val="center"/>
            <w:hideMark/>
          </w:tcPr>
          <w:p w14:paraId="5AE0FB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42D07C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4E90AA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1EF05D9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184 Prezydenta Warszawy z dnia 30 czerwca 1976 r. o uznaniu za pomnik przyrody</w:t>
            </w:r>
          </w:p>
        </w:tc>
        <w:tc>
          <w:tcPr>
            <w:tcW w:w="725" w:type="pct"/>
            <w:shd w:val="clear" w:color="auto" w:fill="auto"/>
            <w:vAlign w:val="center"/>
            <w:hideMark/>
          </w:tcPr>
          <w:p w14:paraId="0643C3F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16.08.1976 r. Nr 17, poz. 87</w:t>
            </w:r>
          </w:p>
        </w:tc>
      </w:tr>
      <w:tr w:rsidR="00EF1A17" w:rsidRPr="00213798" w14:paraId="299EEC5C" w14:textId="77777777" w:rsidTr="00313DA6">
        <w:tc>
          <w:tcPr>
            <w:tcW w:w="424" w:type="pct"/>
            <w:shd w:val="clear" w:color="auto" w:fill="auto"/>
            <w:vAlign w:val="center"/>
            <w:hideMark/>
          </w:tcPr>
          <w:p w14:paraId="5C51427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346EF94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05E589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E7A328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10F09D4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9CDECB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BFF902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64A40A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37A07944" w14:textId="77777777" w:rsidTr="00313DA6">
        <w:tc>
          <w:tcPr>
            <w:tcW w:w="424" w:type="pct"/>
            <w:shd w:val="clear" w:color="auto" w:fill="auto"/>
            <w:vAlign w:val="center"/>
            <w:hideMark/>
          </w:tcPr>
          <w:p w14:paraId="50DE46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7A53290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35A610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1974-07-31</w:t>
            </w:r>
          </w:p>
        </w:tc>
        <w:tc>
          <w:tcPr>
            <w:tcW w:w="357" w:type="pct"/>
            <w:shd w:val="clear" w:color="auto" w:fill="auto"/>
            <w:vAlign w:val="center"/>
            <w:hideMark/>
          </w:tcPr>
          <w:p w14:paraId="1D489E0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5E29E7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61E6697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F67D39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427 Wojewody Warszawskiego z dnia 7 marca 1974 r. o uznaniu za pomnik przyrody</w:t>
            </w:r>
          </w:p>
        </w:tc>
        <w:tc>
          <w:tcPr>
            <w:tcW w:w="725" w:type="pct"/>
            <w:shd w:val="clear" w:color="auto" w:fill="auto"/>
            <w:vAlign w:val="center"/>
            <w:hideMark/>
          </w:tcPr>
          <w:p w14:paraId="2D2D22E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Wojewódzkiej Rady Narodowej w Warszawie z dnia 31.07.1974 r. Nr 6, poz. 76</w:t>
            </w:r>
          </w:p>
        </w:tc>
      </w:tr>
      <w:tr w:rsidR="00EF1A17" w:rsidRPr="00213798" w14:paraId="7153F325" w14:textId="77777777" w:rsidTr="00313DA6">
        <w:tc>
          <w:tcPr>
            <w:tcW w:w="424" w:type="pct"/>
            <w:shd w:val="clear" w:color="auto" w:fill="auto"/>
            <w:vAlign w:val="center"/>
            <w:hideMark/>
          </w:tcPr>
          <w:p w14:paraId="225909E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4CDCF75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5408E4E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4430D4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B61F51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0804ADD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68E62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0F52AA1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0A594865" w14:textId="77777777" w:rsidTr="00313DA6">
        <w:tc>
          <w:tcPr>
            <w:tcW w:w="424" w:type="pct"/>
            <w:shd w:val="clear" w:color="auto" w:fill="auto"/>
            <w:vAlign w:val="center"/>
            <w:hideMark/>
          </w:tcPr>
          <w:p w14:paraId="3CA3B48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6F5149A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C84594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1974-03-15</w:t>
            </w:r>
          </w:p>
        </w:tc>
        <w:tc>
          <w:tcPr>
            <w:tcW w:w="357" w:type="pct"/>
            <w:shd w:val="clear" w:color="auto" w:fill="auto"/>
            <w:vAlign w:val="center"/>
            <w:hideMark/>
          </w:tcPr>
          <w:p w14:paraId="1C60B93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45ADC84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36E8EAB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20822F2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427 Wojewody Warszawskiego z dnia 7 marca 1974 r. o uznaniu za pomnik przyrody</w:t>
            </w:r>
          </w:p>
        </w:tc>
        <w:tc>
          <w:tcPr>
            <w:tcW w:w="725" w:type="pct"/>
            <w:shd w:val="clear" w:color="auto" w:fill="auto"/>
            <w:vAlign w:val="center"/>
            <w:hideMark/>
          </w:tcPr>
          <w:p w14:paraId="3D5895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Wojewódzkiej Rady Narodowej w Warszawie z dnia 15.03.1974 r. Nr 6, poz. 76</w:t>
            </w:r>
          </w:p>
        </w:tc>
      </w:tr>
      <w:tr w:rsidR="00EF1A17" w:rsidRPr="00213798" w14:paraId="51A127DB" w14:textId="77777777" w:rsidTr="00313DA6">
        <w:tc>
          <w:tcPr>
            <w:tcW w:w="424" w:type="pct"/>
            <w:shd w:val="clear" w:color="auto" w:fill="auto"/>
            <w:vAlign w:val="center"/>
            <w:hideMark/>
          </w:tcPr>
          <w:p w14:paraId="1E3AF5E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56F9578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369F5BA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1A8C542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1484923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CEA171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B85397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0F9FE6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63D581AC" w14:textId="77777777" w:rsidTr="00313DA6">
        <w:tc>
          <w:tcPr>
            <w:tcW w:w="424" w:type="pct"/>
            <w:shd w:val="clear" w:color="auto" w:fill="auto"/>
            <w:vAlign w:val="center"/>
            <w:hideMark/>
          </w:tcPr>
          <w:p w14:paraId="2E82DB1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6D1CF09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A46401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1980-08-25</w:t>
            </w:r>
          </w:p>
        </w:tc>
        <w:tc>
          <w:tcPr>
            <w:tcW w:w="357" w:type="pct"/>
            <w:shd w:val="clear" w:color="auto" w:fill="auto"/>
            <w:vAlign w:val="center"/>
            <w:hideMark/>
          </w:tcPr>
          <w:p w14:paraId="4414D85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6EBD623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726DD08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79E622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625 Prezydenta Warszawy z dnia 20 czerwca 1980 r. o uznaniu za pomnik przyrody</w:t>
            </w:r>
          </w:p>
        </w:tc>
        <w:tc>
          <w:tcPr>
            <w:tcW w:w="725" w:type="pct"/>
            <w:shd w:val="clear" w:color="auto" w:fill="auto"/>
            <w:vAlign w:val="center"/>
            <w:hideMark/>
          </w:tcPr>
          <w:p w14:paraId="0CB3ABE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25.08.1980 r. Nr 13, poz. 49</w:t>
            </w:r>
          </w:p>
        </w:tc>
      </w:tr>
      <w:tr w:rsidR="00EF1A17" w:rsidRPr="00213798" w14:paraId="28FBF139" w14:textId="77777777" w:rsidTr="00313DA6">
        <w:tc>
          <w:tcPr>
            <w:tcW w:w="424" w:type="pct"/>
            <w:shd w:val="clear" w:color="auto" w:fill="auto"/>
            <w:vAlign w:val="center"/>
            <w:hideMark/>
          </w:tcPr>
          <w:p w14:paraId="10DC806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7636858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4AD2F9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23065EB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66B425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1BDC79C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4391C1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DF772C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7755D160" w14:textId="77777777" w:rsidTr="00313DA6">
        <w:tc>
          <w:tcPr>
            <w:tcW w:w="424" w:type="pct"/>
            <w:shd w:val="clear" w:color="auto" w:fill="auto"/>
            <w:vAlign w:val="center"/>
            <w:hideMark/>
          </w:tcPr>
          <w:p w14:paraId="6461EDD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1BEF7FD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E094B2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1980-08-25</w:t>
            </w:r>
          </w:p>
        </w:tc>
        <w:tc>
          <w:tcPr>
            <w:tcW w:w="357" w:type="pct"/>
            <w:shd w:val="clear" w:color="auto" w:fill="auto"/>
            <w:vAlign w:val="center"/>
            <w:hideMark/>
          </w:tcPr>
          <w:p w14:paraId="5594F96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4F309CE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1700953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0C68975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625 Prezydenta Warszawy z dnia 20 czerwca 1980 r. o uznaniu za pomnik przyrody</w:t>
            </w:r>
          </w:p>
        </w:tc>
        <w:tc>
          <w:tcPr>
            <w:tcW w:w="725" w:type="pct"/>
            <w:shd w:val="clear" w:color="auto" w:fill="auto"/>
            <w:vAlign w:val="center"/>
            <w:hideMark/>
          </w:tcPr>
          <w:p w14:paraId="238318A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25.08.1980 r. Nr 13, poz. 49</w:t>
            </w:r>
          </w:p>
        </w:tc>
      </w:tr>
      <w:tr w:rsidR="00EF1A17" w:rsidRPr="00213798" w14:paraId="4247E5FD" w14:textId="77777777" w:rsidTr="00313DA6">
        <w:tc>
          <w:tcPr>
            <w:tcW w:w="424" w:type="pct"/>
            <w:shd w:val="clear" w:color="auto" w:fill="auto"/>
            <w:vAlign w:val="center"/>
            <w:hideMark/>
          </w:tcPr>
          <w:p w14:paraId="324E42B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 </w:t>
            </w:r>
          </w:p>
        </w:tc>
        <w:tc>
          <w:tcPr>
            <w:tcW w:w="437" w:type="pct"/>
            <w:shd w:val="clear" w:color="auto" w:fill="auto"/>
            <w:vAlign w:val="center"/>
            <w:hideMark/>
          </w:tcPr>
          <w:p w14:paraId="7F63380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C696F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13F711C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08724B8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23C9198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4E5C19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2D416EE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7E5D8632" w14:textId="77777777" w:rsidTr="00313DA6">
        <w:tc>
          <w:tcPr>
            <w:tcW w:w="424" w:type="pct"/>
            <w:shd w:val="clear" w:color="auto" w:fill="auto"/>
            <w:vAlign w:val="center"/>
            <w:hideMark/>
          </w:tcPr>
          <w:p w14:paraId="5B4EE77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7D13724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E1540F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1980-08-25</w:t>
            </w:r>
          </w:p>
        </w:tc>
        <w:tc>
          <w:tcPr>
            <w:tcW w:w="357" w:type="pct"/>
            <w:shd w:val="clear" w:color="auto" w:fill="auto"/>
            <w:vAlign w:val="center"/>
            <w:hideMark/>
          </w:tcPr>
          <w:p w14:paraId="406A8F7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530E773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6D00282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3A127D8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625 Prezydenta Warszawy z dnia 20 czerwca 1980 r. o uznaniu za pomnik przyrody</w:t>
            </w:r>
          </w:p>
        </w:tc>
        <w:tc>
          <w:tcPr>
            <w:tcW w:w="725" w:type="pct"/>
            <w:shd w:val="clear" w:color="auto" w:fill="auto"/>
            <w:vAlign w:val="center"/>
            <w:hideMark/>
          </w:tcPr>
          <w:p w14:paraId="7267420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25.08.1980 r. Nr 13, poz. 49</w:t>
            </w:r>
          </w:p>
        </w:tc>
      </w:tr>
      <w:tr w:rsidR="00EF1A17" w:rsidRPr="00213798" w14:paraId="0C86598A" w14:textId="77777777" w:rsidTr="00313DA6">
        <w:tc>
          <w:tcPr>
            <w:tcW w:w="424" w:type="pct"/>
            <w:shd w:val="clear" w:color="auto" w:fill="auto"/>
            <w:vAlign w:val="center"/>
            <w:hideMark/>
          </w:tcPr>
          <w:p w14:paraId="64F2231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383873E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8C45E1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05B1A2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20857E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25207F0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AB4ED2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39FBD0C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3134401E" w14:textId="77777777" w:rsidTr="00313DA6">
        <w:tc>
          <w:tcPr>
            <w:tcW w:w="424" w:type="pct"/>
            <w:shd w:val="clear" w:color="auto" w:fill="auto"/>
            <w:vAlign w:val="center"/>
            <w:hideMark/>
          </w:tcPr>
          <w:p w14:paraId="1925A96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54E1671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63D4C9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58B088F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783171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4B1A93E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5A8824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368 Prezydenta Warszawy z dnia 30 lipca 1977 r. o uznaniu za pomnik przyrody</w:t>
            </w:r>
          </w:p>
        </w:tc>
        <w:tc>
          <w:tcPr>
            <w:tcW w:w="725" w:type="pct"/>
            <w:shd w:val="clear" w:color="auto" w:fill="auto"/>
            <w:vAlign w:val="center"/>
            <w:hideMark/>
          </w:tcPr>
          <w:p w14:paraId="3C9B69B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665CD1E1" w14:textId="77777777" w:rsidTr="00313DA6">
        <w:tc>
          <w:tcPr>
            <w:tcW w:w="424" w:type="pct"/>
            <w:shd w:val="clear" w:color="auto" w:fill="auto"/>
            <w:vAlign w:val="center"/>
            <w:hideMark/>
          </w:tcPr>
          <w:p w14:paraId="3C8C8B2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76C413B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5B36240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47122A9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1EF8C63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48D8D9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422CA6B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605C4D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6B22EF6D" w14:textId="77777777" w:rsidTr="00313DA6">
        <w:tc>
          <w:tcPr>
            <w:tcW w:w="424" w:type="pct"/>
            <w:shd w:val="clear" w:color="auto" w:fill="auto"/>
            <w:vAlign w:val="center"/>
            <w:hideMark/>
          </w:tcPr>
          <w:p w14:paraId="11EC8EE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3B33693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3E595F3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05A7A0B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ACC97F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65EECD9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1553466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368 Prezydenta Warszawy z dnia 30 lipca 1977 r. o uznaniu za pomnik przyrody</w:t>
            </w:r>
          </w:p>
        </w:tc>
        <w:tc>
          <w:tcPr>
            <w:tcW w:w="725" w:type="pct"/>
            <w:shd w:val="clear" w:color="auto" w:fill="auto"/>
            <w:vAlign w:val="center"/>
            <w:hideMark/>
          </w:tcPr>
          <w:p w14:paraId="36BF7CC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19ED0BB4" w14:textId="77777777" w:rsidTr="00313DA6">
        <w:tc>
          <w:tcPr>
            <w:tcW w:w="424" w:type="pct"/>
            <w:shd w:val="clear" w:color="auto" w:fill="auto"/>
            <w:vAlign w:val="center"/>
            <w:hideMark/>
          </w:tcPr>
          <w:p w14:paraId="3648229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08637CE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BBA99E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0AF2EC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0BA2458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B51758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2F15913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697072B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1C96EF5E" w14:textId="77777777" w:rsidTr="00313DA6">
        <w:tc>
          <w:tcPr>
            <w:tcW w:w="424" w:type="pct"/>
            <w:shd w:val="clear" w:color="auto" w:fill="auto"/>
            <w:vAlign w:val="center"/>
            <w:hideMark/>
          </w:tcPr>
          <w:p w14:paraId="35E6C79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7183C57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im. Czesława Wycecha</w:t>
            </w:r>
          </w:p>
        </w:tc>
        <w:tc>
          <w:tcPr>
            <w:tcW w:w="320" w:type="pct"/>
            <w:shd w:val="clear" w:color="auto" w:fill="auto"/>
            <w:vAlign w:val="center"/>
            <w:hideMark/>
          </w:tcPr>
          <w:p w14:paraId="673B6FB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6E39F20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4007175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6B1736F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74A3FA0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368 Prezydenta Warszawy z dnia 30 lipca 1977 r. o uznaniu za pomnik przyrody</w:t>
            </w:r>
          </w:p>
        </w:tc>
        <w:tc>
          <w:tcPr>
            <w:tcW w:w="725" w:type="pct"/>
            <w:shd w:val="clear" w:color="auto" w:fill="auto"/>
            <w:vAlign w:val="center"/>
            <w:hideMark/>
          </w:tcPr>
          <w:p w14:paraId="51BB617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1E076E63" w14:textId="77777777" w:rsidTr="00313DA6">
        <w:tc>
          <w:tcPr>
            <w:tcW w:w="424" w:type="pct"/>
            <w:shd w:val="clear" w:color="auto" w:fill="auto"/>
            <w:vAlign w:val="center"/>
            <w:hideMark/>
          </w:tcPr>
          <w:p w14:paraId="6569BA8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2425643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981B0E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F6B4BA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2241398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B49BCC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16DCD18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305DEAD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4FA1D3A9" w14:textId="77777777" w:rsidTr="00313DA6">
        <w:tc>
          <w:tcPr>
            <w:tcW w:w="424" w:type="pct"/>
            <w:shd w:val="clear" w:color="auto" w:fill="auto"/>
            <w:vAlign w:val="center"/>
            <w:hideMark/>
          </w:tcPr>
          <w:p w14:paraId="1E22807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2CA821E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im. Czesława Wycecha</w:t>
            </w:r>
          </w:p>
        </w:tc>
        <w:tc>
          <w:tcPr>
            <w:tcW w:w="320" w:type="pct"/>
            <w:shd w:val="clear" w:color="auto" w:fill="auto"/>
            <w:vAlign w:val="center"/>
            <w:hideMark/>
          </w:tcPr>
          <w:p w14:paraId="4929D41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64B963A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3730981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5E48954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2194CC7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368 Prezydenta Warszawy z dnia 30 lipca 1977 r. o uznaniu za pomnik przyrody</w:t>
            </w:r>
          </w:p>
        </w:tc>
        <w:tc>
          <w:tcPr>
            <w:tcW w:w="725" w:type="pct"/>
            <w:shd w:val="clear" w:color="auto" w:fill="auto"/>
            <w:vAlign w:val="center"/>
            <w:hideMark/>
          </w:tcPr>
          <w:p w14:paraId="6473F59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7887AB40" w14:textId="77777777" w:rsidTr="00313DA6">
        <w:tc>
          <w:tcPr>
            <w:tcW w:w="424" w:type="pct"/>
            <w:shd w:val="clear" w:color="auto" w:fill="auto"/>
            <w:vAlign w:val="center"/>
            <w:hideMark/>
          </w:tcPr>
          <w:p w14:paraId="0E41D58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 </w:t>
            </w:r>
          </w:p>
        </w:tc>
        <w:tc>
          <w:tcPr>
            <w:tcW w:w="437" w:type="pct"/>
            <w:shd w:val="clear" w:color="auto" w:fill="auto"/>
            <w:vAlign w:val="center"/>
            <w:hideMark/>
          </w:tcPr>
          <w:p w14:paraId="0EA8B14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8A5841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0CA943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76A5050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3BED1D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A84BA2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10E6924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478CC2EC" w14:textId="77777777" w:rsidTr="00313DA6">
        <w:tc>
          <w:tcPr>
            <w:tcW w:w="424" w:type="pct"/>
            <w:shd w:val="clear" w:color="auto" w:fill="auto"/>
            <w:vAlign w:val="center"/>
            <w:hideMark/>
          </w:tcPr>
          <w:p w14:paraId="07C1AC3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2BF783A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im. Czesława Wycecha</w:t>
            </w:r>
          </w:p>
        </w:tc>
        <w:tc>
          <w:tcPr>
            <w:tcW w:w="320" w:type="pct"/>
            <w:shd w:val="clear" w:color="auto" w:fill="auto"/>
            <w:vAlign w:val="center"/>
            <w:hideMark/>
          </w:tcPr>
          <w:p w14:paraId="518386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3DD253D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48E84E4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130EEEF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3EF1CA3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368 Prezydenta Warszawy z dnia 30 lipca 1977 r. o uznaniu za pomnik przyrody</w:t>
            </w:r>
          </w:p>
        </w:tc>
        <w:tc>
          <w:tcPr>
            <w:tcW w:w="725" w:type="pct"/>
            <w:shd w:val="clear" w:color="auto" w:fill="auto"/>
            <w:vAlign w:val="center"/>
            <w:hideMark/>
          </w:tcPr>
          <w:p w14:paraId="5CE7E6C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0719E21E" w14:textId="77777777" w:rsidTr="00313DA6">
        <w:tc>
          <w:tcPr>
            <w:tcW w:w="424" w:type="pct"/>
            <w:shd w:val="clear" w:color="auto" w:fill="auto"/>
            <w:vAlign w:val="center"/>
            <w:hideMark/>
          </w:tcPr>
          <w:p w14:paraId="7E1EA9C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7964338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4197BD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30AFB63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FEDA1F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3A6C2A1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298BE7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18D038A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779B2C00" w14:textId="77777777" w:rsidTr="00313DA6">
        <w:tc>
          <w:tcPr>
            <w:tcW w:w="424" w:type="pct"/>
            <w:shd w:val="clear" w:color="auto" w:fill="auto"/>
            <w:vAlign w:val="center"/>
            <w:hideMark/>
          </w:tcPr>
          <w:p w14:paraId="07045A0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4CFDF9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Św. Antoniego</w:t>
            </w:r>
          </w:p>
        </w:tc>
        <w:tc>
          <w:tcPr>
            <w:tcW w:w="320" w:type="pct"/>
            <w:shd w:val="clear" w:color="auto" w:fill="auto"/>
            <w:vAlign w:val="center"/>
            <w:hideMark/>
          </w:tcPr>
          <w:p w14:paraId="4646AC5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1973-04-30</w:t>
            </w:r>
          </w:p>
        </w:tc>
        <w:tc>
          <w:tcPr>
            <w:tcW w:w="357" w:type="pct"/>
            <w:shd w:val="clear" w:color="auto" w:fill="auto"/>
            <w:vAlign w:val="center"/>
            <w:hideMark/>
          </w:tcPr>
          <w:p w14:paraId="204EBE6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07EA663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4660BAD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07ED19B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283 Kierownika Wydziału Rolnictwa i Leśnictwa Prezydium Wojewódzkiej Rady Narodowej w Warszawie z dnia 2 marca 1973 r. o uznaniu za pomnik przyrody</w:t>
            </w:r>
          </w:p>
        </w:tc>
        <w:tc>
          <w:tcPr>
            <w:tcW w:w="725" w:type="pct"/>
            <w:shd w:val="clear" w:color="auto" w:fill="auto"/>
            <w:vAlign w:val="center"/>
            <w:hideMark/>
          </w:tcPr>
          <w:p w14:paraId="2E01014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Warszawskiego z 30.04.1973 r. Nr 8, poz. 105</w:t>
            </w:r>
          </w:p>
        </w:tc>
      </w:tr>
      <w:tr w:rsidR="00EF1A17" w:rsidRPr="00213798" w14:paraId="1C126951" w14:textId="77777777" w:rsidTr="00313DA6">
        <w:tc>
          <w:tcPr>
            <w:tcW w:w="424" w:type="pct"/>
            <w:shd w:val="clear" w:color="auto" w:fill="auto"/>
            <w:vAlign w:val="center"/>
            <w:hideMark/>
          </w:tcPr>
          <w:p w14:paraId="16F3FE1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2967055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0444CF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7499DB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2E33297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BCA09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10E2171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C9C1D0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216B352C" w14:textId="77777777" w:rsidTr="00313DA6">
        <w:tc>
          <w:tcPr>
            <w:tcW w:w="424" w:type="pct"/>
            <w:shd w:val="clear" w:color="auto" w:fill="auto"/>
            <w:vAlign w:val="center"/>
            <w:hideMark/>
          </w:tcPr>
          <w:p w14:paraId="095EFEC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1C5FD9A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42E981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1988-12-28</w:t>
            </w:r>
          </w:p>
        </w:tc>
        <w:tc>
          <w:tcPr>
            <w:tcW w:w="357" w:type="pct"/>
            <w:shd w:val="clear" w:color="auto" w:fill="auto"/>
            <w:vAlign w:val="center"/>
            <w:hideMark/>
          </w:tcPr>
          <w:p w14:paraId="2A8D86D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1279DF5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6878BC4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7ADCD7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1001 Prezydenta Warszawy z dnia 28.12.1988 r. o uznaniu za pomnik przyrody</w:t>
            </w:r>
          </w:p>
        </w:tc>
        <w:tc>
          <w:tcPr>
            <w:tcW w:w="725" w:type="pct"/>
            <w:shd w:val="clear" w:color="auto" w:fill="auto"/>
            <w:vAlign w:val="center"/>
            <w:hideMark/>
          </w:tcPr>
          <w:p w14:paraId="054ACB7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Stołecznego Warszawskiego z 1989 r. Nr 24, poz. 264</w:t>
            </w:r>
          </w:p>
        </w:tc>
      </w:tr>
      <w:tr w:rsidR="00EF1A17" w:rsidRPr="00213798" w14:paraId="40DA1985" w14:textId="77777777" w:rsidTr="00313DA6">
        <w:tc>
          <w:tcPr>
            <w:tcW w:w="424" w:type="pct"/>
            <w:shd w:val="clear" w:color="auto" w:fill="auto"/>
            <w:vAlign w:val="center"/>
            <w:hideMark/>
          </w:tcPr>
          <w:p w14:paraId="28E3964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3E08EB9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743233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65AA347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DABAA7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4DB6C2D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75E5DE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7A44EA3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1C65541D" w14:textId="77777777" w:rsidTr="00313DA6">
        <w:tc>
          <w:tcPr>
            <w:tcW w:w="424" w:type="pct"/>
            <w:shd w:val="clear" w:color="auto" w:fill="auto"/>
            <w:vAlign w:val="center"/>
            <w:hideMark/>
          </w:tcPr>
          <w:p w14:paraId="0A11DF8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6ABA151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FC6F5C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1982-10-19</w:t>
            </w:r>
          </w:p>
        </w:tc>
        <w:tc>
          <w:tcPr>
            <w:tcW w:w="357" w:type="pct"/>
            <w:shd w:val="clear" w:color="auto" w:fill="auto"/>
            <w:vAlign w:val="center"/>
            <w:hideMark/>
          </w:tcPr>
          <w:p w14:paraId="0ECFD3E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55FFE02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5447700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3A2261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749 Prezydenta Warszawy z dnia 5 lipca 1982 r. o uznaniu za pomnik przyrody</w:t>
            </w:r>
          </w:p>
        </w:tc>
        <w:tc>
          <w:tcPr>
            <w:tcW w:w="725" w:type="pct"/>
            <w:shd w:val="clear" w:color="auto" w:fill="auto"/>
            <w:vAlign w:val="center"/>
            <w:hideMark/>
          </w:tcPr>
          <w:p w14:paraId="0E9C473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19.10.1982 r. Nr 14, poz. 68</w:t>
            </w:r>
          </w:p>
        </w:tc>
      </w:tr>
      <w:tr w:rsidR="00EF1A17" w:rsidRPr="00213798" w14:paraId="59248464" w14:textId="77777777" w:rsidTr="00313DA6">
        <w:tc>
          <w:tcPr>
            <w:tcW w:w="424" w:type="pct"/>
            <w:shd w:val="clear" w:color="auto" w:fill="auto"/>
            <w:vAlign w:val="center"/>
            <w:hideMark/>
          </w:tcPr>
          <w:p w14:paraId="7658A06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410F187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B296C5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F2EDFE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4451BDD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0EED089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366EA19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4D3A859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41A92E42" w14:textId="77777777" w:rsidTr="00313DA6">
        <w:tc>
          <w:tcPr>
            <w:tcW w:w="424" w:type="pct"/>
            <w:shd w:val="clear" w:color="auto" w:fill="auto"/>
            <w:vAlign w:val="center"/>
            <w:hideMark/>
          </w:tcPr>
          <w:p w14:paraId="68F7DE8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0821821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Józef</w:t>
            </w:r>
          </w:p>
        </w:tc>
        <w:tc>
          <w:tcPr>
            <w:tcW w:w="320" w:type="pct"/>
            <w:shd w:val="clear" w:color="auto" w:fill="auto"/>
            <w:vAlign w:val="center"/>
            <w:hideMark/>
          </w:tcPr>
          <w:p w14:paraId="088989E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1991-12-10</w:t>
            </w:r>
          </w:p>
        </w:tc>
        <w:tc>
          <w:tcPr>
            <w:tcW w:w="357" w:type="pct"/>
            <w:shd w:val="clear" w:color="auto" w:fill="auto"/>
            <w:vAlign w:val="center"/>
            <w:hideMark/>
          </w:tcPr>
          <w:p w14:paraId="1F7BFD9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72BC7D2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441AC95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2ABE09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1069 Wojewody Warszawskiego z dnia 10 grudnia 1991 r. o uznaniu za pomnik przyrody</w:t>
            </w:r>
          </w:p>
        </w:tc>
        <w:tc>
          <w:tcPr>
            <w:tcW w:w="725" w:type="pct"/>
            <w:shd w:val="clear" w:color="auto" w:fill="auto"/>
            <w:vAlign w:val="center"/>
            <w:hideMark/>
          </w:tcPr>
          <w:p w14:paraId="26D482C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Warszawskiego z 1992 r. Nr 7, poz. 76</w:t>
            </w:r>
          </w:p>
        </w:tc>
      </w:tr>
      <w:tr w:rsidR="00EF1A17" w:rsidRPr="00213798" w14:paraId="41C7AE86" w14:textId="77777777" w:rsidTr="00313DA6">
        <w:tc>
          <w:tcPr>
            <w:tcW w:w="424" w:type="pct"/>
            <w:shd w:val="clear" w:color="auto" w:fill="auto"/>
            <w:vAlign w:val="center"/>
            <w:hideMark/>
          </w:tcPr>
          <w:p w14:paraId="1260756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 </w:t>
            </w:r>
          </w:p>
        </w:tc>
        <w:tc>
          <w:tcPr>
            <w:tcW w:w="437" w:type="pct"/>
            <w:shd w:val="clear" w:color="auto" w:fill="auto"/>
            <w:vAlign w:val="center"/>
            <w:hideMark/>
          </w:tcPr>
          <w:p w14:paraId="198447E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2C678A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13105AF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757D9E1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6F263D8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2913635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67D7182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441396A8" w14:textId="77777777" w:rsidTr="00313DA6">
        <w:tc>
          <w:tcPr>
            <w:tcW w:w="424" w:type="pct"/>
            <w:shd w:val="clear" w:color="auto" w:fill="auto"/>
            <w:vAlign w:val="center"/>
            <w:hideMark/>
          </w:tcPr>
          <w:p w14:paraId="247F104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39A0B6E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6595BBD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1977-10-30</w:t>
            </w:r>
          </w:p>
        </w:tc>
        <w:tc>
          <w:tcPr>
            <w:tcW w:w="357" w:type="pct"/>
            <w:shd w:val="clear" w:color="auto" w:fill="auto"/>
            <w:vAlign w:val="center"/>
            <w:hideMark/>
          </w:tcPr>
          <w:p w14:paraId="3C53437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614F7CA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416DDF6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2F1FFF8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388 Prezydenta Warszawy z dnia 15 września 1977 r. o uznaniu za pomnik przyrody</w:t>
            </w:r>
          </w:p>
        </w:tc>
        <w:tc>
          <w:tcPr>
            <w:tcW w:w="725" w:type="pct"/>
            <w:shd w:val="clear" w:color="auto" w:fill="auto"/>
            <w:vAlign w:val="center"/>
            <w:hideMark/>
          </w:tcPr>
          <w:p w14:paraId="799AD61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30.10.1977 r. Nr 10, poz. 68</w:t>
            </w:r>
          </w:p>
        </w:tc>
      </w:tr>
      <w:tr w:rsidR="00EF1A17" w:rsidRPr="00213798" w14:paraId="6C6C82B5" w14:textId="77777777" w:rsidTr="00313DA6">
        <w:tc>
          <w:tcPr>
            <w:tcW w:w="424" w:type="pct"/>
            <w:shd w:val="clear" w:color="auto" w:fill="auto"/>
            <w:vAlign w:val="center"/>
            <w:hideMark/>
          </w:tcPr>
          <w:p w14:paraId="3E87795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E46849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2259CFC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6A85CCC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2A0ED2C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15B9E5C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17AFEA7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52C1B5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1FFC418F" w14:textId="77777777" w:rsidTr="00313DA6">
        <w:tc>
          <w:tcPr>
            <w:tcW w:w="424" w:type="pct"/>
            <w:shd w:val="clear" w:color="auto" w:fill="auto"/>
            <w:vAlign w:val="center"/>
            <w:hideMark/>
          </w:tcPr>
          <w:p w14:paraId="19DF5C8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28EC995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17C3FF6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5529762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32A73D7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54EDE3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452AA95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367 Prezydenta Warszawy z dnia 30 lipca 1977 r. o uznaniu za pomnik przyrody</w:t>
            </w:r>
          </w:p>
        </w:tc>
        <w:tc>
          <w:tcPr>
            <w:tcW w:w="725" w:type="pct"/>
            <w:shd w:val="clear" w:color="auto" w:fill="auto"/>
            <w:vAlign w:val="center"/>
            <w:hideMark/>
          </w:tcPr>
          <w:p w14:paraId="10AEE10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3BB49972" w14:textId="77777777" w:rsidTr="00313DA6">
        <w:tc>
          <w:tcPr>
            <w:tcW w:w="424" w:type="pct"/>
            <w:shd w:val="clear" w:color="auto" w:fill="auto"/>
            <w:vAlign w:val="center"/>
            <w:hideMark/>
          </w:tcPr>
          <w:p w14:paraId="2B6BC74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0C85E0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01CB588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711113A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372BE63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2A2C39E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DB53B6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2CB520B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6C4FFAF1" w14:textId="77777777" w:rsidTr="00313DA6">
        <w:tc>
          <w:tcPr>
            <w:tcW w:w="424" w:type="pct"/>
            <w:shd w:val="clear" w:color="auto" w:fill="auto"/>
            <w:vAlign w:val="center"/>
            <w:hideMark/>
          </w:tcPr>
          <w:p w14:paraId="1A6F6E2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3FE1897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A625B2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1977-09-15</w:t>
            </w:r>
          </w:p>
        </w:tc>
        <w:tc>
          <w:tcPr>
            <w:tcW w:w="357" w:type="pct"/>
            <w:shd w:val="clear" w:color="auto" w:fill="auto"/>
            <w:vAlign w:val="center"/>
            <w:hideMark/>
          </w:tcPr>
          <w:p w14:paraId="3A502D0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30DD40E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331007C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0907550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367 Prezydenta Warszawy z dnia 30 lipca 1977 r. o uznaniu za pomnik przyrody</w:t>
            </w:r>
          </w:p>
        </w:tc>
        <w:tc>
          <w:tcPr>
            <w:tcW w:w="725" w:type="pct"/>
            <w:shd w:val="clear" w:color="auto" w:fill="auto"/>
            <w:vAlign w:val="center"/>
            <w:hideMark/>
          </w:tcPr>
          <w:p w14:paraId="7955D16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Rady Narodowej m. st. Warszawy z dnia 15.09.1977 r. Nr 7, poz. 53</w:t>
            </w:r>
          </w:p>
        </w:tc>
      </w:tr>
      <w:tr w:rsidR="00EF1A17" w:rsidRPr="00213798" w14:paraId="53D81304" w14:textId="77777777" w:rsidTr="00313DA6">
        <w:tc>
          <w:tcPr>
            <w:tcW w:w="424" w:type="pct"/>
            <w:shd w:val="clear" w:color="auto" w:fill="auto"/>
            <w:vAlign w:val="center"/>
            <w:hideMark/>
          </w:tcPr>
          <w:p w14:paraId="535AE02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056ABC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78081F0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6A9AF21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54605C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A59016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4396CEC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0B86F7AB"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4C791B58" w14:textId="77777777" w:rsidTr="00313DA6">
        <w:tc>
          <w:tcPr>
            <w:tcW w:w="424" w:type="pct"/>
            <w:shd w:val="clear" w:color="auto" w:fill="auto"/>
            <w:vAlign w:val="center"/>
            <w:hideMark/>
          </w:tcPr>
          <w:p w14:paraId="235E6DA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78A05F8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3B7E888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1988-12-28</w:t>
            </w:r>
          </w:p>
        </w:tc>
        <w:tc>
          <w:tcPr>
            <w:tcW w:w="357" w:type="pct"/>
            <w:shd w:val="clear" w:color="auto" w:fill="auto"/>
            <w:vAlign w:val="center"/>
            <w:hideMark/>
          </w:tcPr>
          <w:p w14:paraId="00496B7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0.0000</w:t>
            </w:r>
          </w:p>
        </w:tc>
        <w:tc>
          <w:tcPr>
            <w:tcW w:w="597" w:type="pct"/>
            <w:shd w:val="clear" w:color="auto" w:fill="auto"/>
            <w:vAlign w:val="center"/>
            <w:hideMark/>
          </w:tcPr>
          <w:p w14:paraId="1BAC200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Wojewoda Mazowiecki</w:t>
            </w:r>
          </w:p>
        </w:tc>
        <w:tc>
          <w:tcPr>
            <w:tcW w:w="341" w:type="pct"/>
            <w:shd w:val="clear" w:color="auto" w:fill="auto"/>
            <w:vAlign w:val="center"/>
            <w:hideMark/>
          </w:tcPr>
          <w:p w14:paraId="3554783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0493D00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Orzeczenie Nr 1002 Prezydenta Warszawy z dnia 28.12.1988 r. o uznaniu za pomnik przyrody</w:t>
            </w:r>
          </w:p>
        </w:tc>
        <w:tc>
          <w:tcPr>
            <w:tcW w:w="725" w:type="pct"/>
            <w:shd w:val="clear" w:color="auto" w:fill="auto"/>
            <w:vAlign w:val="center"/>
            <w:hideMark/>
          </w:tcPr>
          <w:p w14:paraId="359FBF4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Stołecznego Warszawskiego z 1989 r. Nr 24, poz. 264</w:t>
            </w:r>
          </w:p>
        </w:tc>
      </w:tr>
      <w:tr w:rsidR="00EF1A17" w:rsidRPr="00213798" w14:paraId="4CA7434F" w14:textId="77777777" w:rsidTr="00313DA6">
        <w:tc>
          <w:tcPr>
            <w:tcW w:w="424" w:type="pct"/>
            <w:shd w:val="clear" w:color="auto" w:fill="auto"/>
            <w:vAlign w:val="center"/>
            <w:hideMark/>
          </w:tcPr>
          <w:p w14:paraId="5D1AED0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437" w:type="pct"/>
            <w:shd w:val="clear" w:color="auto" w:fill="auto"/>
            <w:vAlign w:val="center"/>
            <w:hideMark/>
          </w:tcPr>
          <w:p w14:paraId="6D046BF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5DAE48E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022EC67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57809E31"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C41AB4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7E54755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0927885E"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Dziennik Urzędowy Województwa Mazowieckiego z dnia 31.07.2009 r. Nr 124, poz. 3630</w:t>
            </w:r>
          </w:p>
        </w:tc>
      </w:tr>
      <w:tr w:rsidR="00EF1A17" w:rsidRPr="00213798" w14:paraId="69B90FFF" w14:textId="77777777" w:rsidTr="00313DA6">
        <w:tc>
          <w:tcPr>
            <w:tcW w:w="424" w:type="pct"/>
            <w:shd w:val="clear" w:color="auto" w:fill="auto"/>
            <w:vAlign w:val="center"/>
            <w:hideMark/>
          </w:tcPr>
          <w:p w14:paraId="47CDFA47"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Pomnik przyrody</w:t>
            </w:r>
          </w:p>
        </w:tc>
        <w:tc>
          <w:tcPr>
            <w:tcW w:w="437" w:type="pct"/>
            <w:shd w:val="clear" w:color="auto" w:fill="auto"/>
            <w:vAlign w:val="center"/>
            <w:hideMark/>
          </w:tcPr>
          <w:p w14:paraId="440741B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Jezioro Czerskie</w:t>
            </w:r>
          </w:p>
        </w:tc>
        <w:tc>
          <w:tcPr>
            <w:tcW w:w="320" w:type="pct"/>
            <w:shd w:val="clear" w:color="auto" w:fill="auto"/>
            <w:vAlign w:val="center"/>
            <w:hideMark/>
          </w:tcPr>
          <w:p w14:paraId="6570239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1992-04-30</w:t>
            </w:r>
          </w:p>
        </w:tc>
        <w:tc>
          <w:tcPr>
            <w:tcW w:w="357" w:type="pct"/>
            <w:shd w:val="clear" w:color="auto" w:fill="auto"/>
            <w:vAlign w:val="center"/>
            <w:hideMark/>
          </w:tcPr>
          <w:p w14:paraId="1A11BD6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9.0000</w:t>
            </w:r>
          </w:p>
        </w:tc>
        <w:tc>
          <w:tcPr>
            <w:tcW w:w="597" w:type="pct"/>
            <w:shd w:val="clear" w:color="auto" w:fill="auto"/>
            <w:vAlign w:val="center"/>
            <w:hideMark/>
          </w:tcPr>
          <w:p w14:paraId="359C140D"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Konieczność zmiany przepisów dot. sprawującego nadzór</w:t>
            </w:r>
          </w:p>
        </w:tc>
        <w:tc>
          <w:tcPr>
            <w:tcW w:w="341" w:type="pct"/>
            <w:shd w:val="clear" w:color="auto" w:fill="auto"/>
            <w:vAlign w:val="center"/>
            <w:hideMark/>
          </w:tcPr>
          <w:p w14:paraId="3FBA0553"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utworzenie</w:t>
            </w:r>
          </w:p>
        </w:tc>
        <w:tc>
          <w:tcPr>
            <w:tcW w:w="1798" w:type="pct"/>
            <w:shd w:val="clear" w:color="auto" w:fill="auto"/>
            <w:vAlign w:val="center"/>
            <w:hideMark/>
          </w:tcPr>
          <w:p w14:paraId="5E6B0962"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Obwieszczenie Wojewody Warszawskiego z dnia 11 grudnia 1991 r. w sprawie ogłoszenia orzeczeń o uznaniu za pomnik przyrody</w:t>
            </w:r>
          </w:p>
        </w:tc>
        <w:tc>
          <w:tcPr>
            <w:tcW w:w="725" w:type="pct"/>
            <w:shd w:val="clear" w:color="auto" w:fill="auto"/>
            <w:vAlign w:val="center"/>
            <w:hideMark/>
          </w:tcPr>
          <w:p w14:paraId="4B53D256"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xml:space="preserve">Dziennik Urzędowy Województwa Warszawskiego nr 7 pozycja 74 </w:t>
            </w:r>
          </w:p>
        </w:tc>
      </w:tr>
      <w:tr w:rsidR="00EF1A17" w:rsidRPr="00213798" w14:paraId="1F812E74" w14:textId="77777777" w:rsidTr="00313DA6">
        <w:tc>
          <w:tcPr>
            <w:tcW w:w="424" w:type="pct"/>
            <w:shd w:val="clear" w:color="auto" w:fill="auto"/>
            <w:vAlign w:val="center"/>
            <w:hideMark/>
          </w:tcPr>
          <w:p w14:paraId="7BA792E8"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lastRenderedPageBreak/>
              <w:t> </w:t>
            </w:r>
          </w:p>
        </w:tc>
        <w:tc>
          <w:tcPr>
            <w:tcW w:w="437" w:type="pct"/>
            <w:shd w:val="clear" w:color="auto" w:fill="auto"/>
            <w:vAlign w:val="center"/>
            <w:hideMark/>
          </w:tcPr>
          <w:p w14:paraId="66BBD659"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20" w:type="pct"/>
            <w:shd w:val="clear" w:color="auto" w:fill="auto"/>
            <w:vAlign w:val="center"/>
            <w:hideMark/>
          </w:tcPr>
          <w:p w14:paraId="4F1B0F24"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57" w:type="pct"/>
            <w:shd w:val="clear" w:color="auto" w:fill="auto"/>
            <w:vAlign w:val="center"/>
            <w:hideMark/>
          </w:tcPr>
          <w:p w14:paraId="5C20A6C0"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597" w:type="pct"/>
            <w:shd w:val="clear" w:color="auto" w:fill="auto"/>
            <w:vAlign w:val="center"/>
            <w:hideMark/>
          </w:tcPr>
          <w:p w14:paraId="6BAA094F"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 </w:t>
            </w:r>
          </w:p>
        </w:tc>
        <w:tc>
          <w:tcPr>
            <w:tcW w:w="341" w:type="pct"/>
            <w:shd w:val="clear" w:color="auto" w:fill="auto"/>
            <w:vAlign w:val="center"/>
            <w:hideMark/>
          </w:tcPr>
          <w:p w14:paraId="75341BAC"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zmiana</w:t>
            </w:r>
          </w:p>
        </w:tc>
        <w:tc>
          <w:tcPr>
            <w:tcW w:w="1798" w:type="pct"/>
            <w:shd w:val="clear" w:color="auto" w:fill="auto"/>
            <w:vAlign w:val="center"/>
            <w:hideMark/>
          </w:tcPr>
          <w:p w14:paraId="6B169EFA"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Rozporządzenie nr 15 Wojewody Mazowieckiego z dnia 31 lipca 2009 r. w sprawie ustanowienia pomników przyrody położonych na terenie powiatu piaseczyńskiego</w:t>
            </w:r>
          </w:p>
        </w:tc>
        <w:tc>
          <w:tcPr>
            <w:tcW w:w="725" w:type="pct"/>
            <w:shd w:val="clear" w:color="auto" w:fill="auto"/>
            <w:vAlign w:val="center"/>
            <w:hideMark/>
          </w:tcPr>
          <w:p w14:paraId="5DDDC2A5" w14:textId="77777777" w:rsidR="00EF1A17" w:rsidRPr="00213798" w:rsidRDefault="00EF1A17" w:rsidP="00313DA6">
            <w:pPr>
              <w:spacing w:after="0" w:line="240" w:lineRule="auto"/>
              <w:rPr>
                <w:rFonts w:ascii="Times New Roman" w:eastAsia="Times New Roman" w:hAnsi="Times New Roman" w:cs="Times New Roman"/>
                <w:color w:val="000000"/>
                <w:sz w:val="16"/>
                <w:szCs w:val="16"/>
                <w:lang w:eastAsia="pl-PL"/>
              </w:rPr>
            </w:pPr>
            <w:r w:rsidRPr="00213798">
              <w:rPr>
                <w:rFonts w:ascii="Times New Roman" w:eastAsia="Times New Roman" w:hAnsi="Times New Roman" w:cs="Times New Roman"/>
                <w:color w:val="000000"/>
                <w:sz w:val="16"/>
                <w:szCs w:val="16"/>
                <w:lang w:eastAsia="pl-PL"/>
              </w:rPr>
              <w:t>Dz. Urz. Województwa Mazowieckiego z 2009 r. Nr 124, poz. 3630</w:t>
            </w:r>
          </w:p>
        </w:tc>
      </w:tr>
    </w:tbl>
    <w:p w14:paraId="39DFCAF1" w14:textId="77777777" w:rsidR="00EF1A17" w:rsidRPr="00213798" w:rsidRDefault="00EF1A17" w:rsidP="00EF1A17">
      <w:pPr>
        <w:rPr>
          <w:rFonts w:ascii="Times New Roman" w:hAnsi="Times New Roman" w:cs="Times New Roman"/>
        </w:rPr>
      </w:pPr>
      <w:r w:rsidRPr="00213798">
        <w:rPr>
          <w:rFonts w:ascii="Times New Roman" w:hAnsi="Times New Roman" w:cs="Times New Roman"/>
        </w:rPr>
        <w:t xml:space="preserve">Źródło: opracowanie własne na podstawie Centralnego Rejestru Form Ochrony Przyrody:  </w:t>
      </w:r>
      <w:hyperlink r:id="rId19" w:history="1">
        <w:r w:rsidRPr="00213798">
          <w:rPr>
            <w:rStyle w:val="Hipercze"/>
            <w:rFonts w:ascii="Times New Roman" w:hAnsi="Times New Roman" w:cs="Times New Roman"/>
          </w:rPr>
          <w:t>https://crfop.gdos.gov.pl/CRFOP/</w:t>
        </w:r>
      </w:hyperlink>
      <w:r w:rsidRPr="00213798">
        <w:rPr>
          <w:rFonts w:ascii="Times New Roman" w:hAnsi="Times New Roman" w:cs="Times New Roman"/>
        </w:rPr>
        <w:t xml:space="preserve"> dostęp 15.10.2022 r.</w:t>
      </w:r>
    </w:p>
    <w:p w14:paraId="73C5220F" w14:textId="77777777" w:rsidR="000B14C0" w:rsidRDefault="000B14C0" w:rsidP="00EF1A17">
      <w:pPr>
        <w:pStyle w:val="Default"/>
        <w:rPr>
          <w:rFonts w:ascii="Times New Roman" w:hAnsi="Times New Roman" w:cs="Times New Roman"/>
        </w:rPr>
      </w:pPr>
      <w:bookmarkStart w:id="31" w:name="_Hlk119635371"/>
    </w:p>
    <w:p w14:paraId="0092515A" w14:textId="77777777" w:rsidR="000B14C0" w:rsidRDefault="000B14C0" w:rsidP="00EF1A17">
      <w:pPr>
        <w:pStyle w:val="Default"/>
        <w:rPr>
          <w:rFonts w:ascii="Times New Roman" w:hAnsi="Times New Roman" w:cs="Times New Roman"/>
        </w:rPr>
      </w:pPr>
    </w:p>
    <w:p w14:paraId="403CDD73" w14:textId="77777777" w:rsidR="000B14C0" w:rsidRDefault="000B14C0" w:rsidP="00EF1A17">
      <w:pPr>
        <w:pStyle w:val="Default"/>
        <w:rPr>
          <w:rFonts w:ascii="Times New Roman" w:hAnsi="Times New Roman" w:cs="Times New Roman"/>
        </w:rPr>
      </w:pPr>
    </w:p>
    <w:p w14:paraId="204758EA" w14:textId="0847A977" w:rsidR="00EF1A17" w:rsidRPr="00213798" w:rsidRDefault="00EF1A17" w:rsidP="00EF1A17">
      <w:pPr>
        <w:pStyle w:val="Default"/>
        <w:rPr>
          <w:rFonts w:ascii="Times New Roman" w:hAnsi="Times New Roman" w:cs="Times New Roman"/>
        </w:rPr>
      </w:pPr>
      <w:r w:rsidRPr="00161F03">
        <w:rPr>
          <w:rFonts w:ascii="Times New Roman" w:hAnsi="Times New Roman" w:cs="Times New Roman"/>
        </w:rPr>
        <w:t xml:space="preserve">Tabela </w:t>
      </w:r>
      <w:r w:rsidR="00636911">
        <w:rPr>
          <w:rFonts w:ascii="Times New Roman" w:hAnsi="Times New Roman" w:cs="Times New Roman"/>
        </w:rPr>
        <w:t>4</w:t>
      </w:r>
      <w:r w:rsidRPr="00161F03">
        <w:rPr>
          <w:rFonts w:ascii="Times New Roman" w:hAnsi="Times New Roman" w:cs="Times New Roman"/>
        </w:rPr>
        <w:t>.</w:t>
      </w:r>
      <w:r w:rsidRPr="00213798">
        <w:rPr>
          <w:rFonts w:ascii="Times New Roman" w:hAnsi="Times New Roman" w:cs="Times New Roman"/>
        </w:rPr>
        <w:t xml:space="preserve"> Wybrane, syntetyczne elementy oceny jakości </w:t>
      </w:r>
      <w:r w:rsidRPr="00213798">
        <w:rPr>
          <w:rFonts w:ascii="Times New Roman" w:hAnsi="Times New Roman" w:cs="Times New Roman"/>
          <w:sz w:val="23"/>
          <w:szCs w:val="23"/>
        </w:rPr>
        <w:t>jednolitych części wód powierzchniowych na obszarze gminy Góra Kalwaria w 2021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80" w:firstRow="0" w:lastRow="0" w:firstColumn="1" w:lastColumn="0" w:noHBand="0" w:noVBand="1"/>
      </w:tblPr>
      <w:tblGrid>
        <w:gridCol w:w="263"/>
        <w:gridCol w:w="590"/>
        <w:gridCol w:w="1277"/>
        <w:gridCol w:w="1101"/>
        <w:gridCol w:w="241"/>
        <w:gridCol w:w="655"/>
        <w:gridCol w:w="520"/>
        <w:gridCol w:w="218"/>
        <w:gridCol w:w="268"/>
        <w:gridCol w:w="244"/>
        <w:gridCol w:w="448"/>
        <w:gridCol w:w="465"/>
        <w:gridCol w:w="373"/>
        <w:gridCol w:w="282"/>
        <w:gridCol w:w="448"/>
        <w:gridCol w:w="465"/>
        <w:gridCol w:w="373"/>
        <w:gridCol w:w="282"/>
        <w:gridCol w:w="475"/>
        <w:gridCol w:w="483"/>
        <w:gridCol w:w="292"/>
        <w:gridCol w:w="917"/>
        <w:gridCol w:w="475"/>
        <w:gridCol w:w="483"/>
        <w:gridCol w:w="943"/>
        <w:gridCol w:w="475"/>
        <w:gridCol w:w="483"/>
        <w:gridCol w:w="455"/>
      </w:tblGrid>
      <w:tr w:rsidR="00EF1A17" w:rsidRPr="00213798" w14:paraId="1F0AC859" w14:textId="77777777" w:rsidTr="0007078D">
        <w:trPr>
          <w:trHeight w:val="509"/>
        </w:trPr>
        <w:tc>
          <w:tcPr>
            <w:tcW w:w="94" w:type="pct"/>
            <w:vMerge w:val="restart"/>
            <w:shd w:val="clear" w:color="auto" w:fill="D9E2F3" w:themeFill="accent1" w:themeFillTint="33"/>
            <w:textDirection w:val="btLr"/>
            <w:vAlign w:val="center"/>
            <w:hideMark/>
          </w:tcPr>
          <w:bookmarkEnd w:id="31"/>
          <w:p w14:paraId="6C2AD3DC"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L.p.</w:t>
            </w:r>
          </w:p>
        </w:tc>
        <w:tc>
          <w:tcPr>
            <w:tcW w:w="211" w:type="pct"/>
            <w:vMerge w:val="restart"/>
            <w:shd w:val="clear" w:color="auto" w:fill="D9E2F3" w:themeFill="accent1" w:themeFillTint="33"/>
            <w:textDirection w:val="btLr"/>
            <w:vAlign w:val="center"/>
            <w:hideMark/>
          </w:tcPr>
          <w:p w14:paraId="420E8A5F"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Kod ppk</w:t>
            </w:r>
          </w:p>
        </w:tc>
        <w:tc>
          <w:tcPr>
            <w:tcW w:w="457" w:type="pct"/>
            <w:vMerge w:val="restart"/>
            <w:shd w:val="clear" w:color="auto" w:fill="D9E2F3" w:themeFill="accent1" w:themeFillTint="33"/>
            <w:textDirection w:val="btLr"/>
            <w:vAlign w:val="center"/>
            <w:hideMark/>
          </w:tcPr>
          <w:p w14:paraId="42DF2445"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Nazwa ppk</w:t>
            </w:r>
          </w:p>
        </w:tc>
        <w:tc>
          <w:tcPr>
            <w:tcW w:w="394" w:type="pct"/>
            <w:vMerge w:val="restart"/>
            <w:shd w:val="clear" w:color="auto" w:fill="D9E2F3" w:themeFill="accent1" w:themeFillTint="33"/>
            <w:textDirection w:val="btLr"/>
            <w:vAlign w:val="center"/>
            <w:hideMark/>
          </w:tcPr>
          <w:p w14:paraId="057F4908"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RWMŚ/DMŚ w Warszawie</w:t>
            </w:r>
          </w:p>
        </w:tc>
        <w:tc>
          <w:tcPr>
            <w:tcW w:w="86" w:type="pct"/>
            <w:vMerge w:val="restart"/>
            <w:shd w:val="clear" w:color="auto" w:fill="D9E2F3" w:themeFill="accent1" w:themeFillTint="33"/>
            <w:textDirection w:val="btLr"/>
            <w:vAlign w:val="center"/>
            <w:hideMark/>
          </w:tcPr>
          <w:p w14:paraId="7F2162D6"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Kategoria jcwp</w:t>
            </w:r>
          </w:p>
        </w:tc>
        <w:tc>
          <w:tcPr>
            <w:tcW w:w="234" w:type="pct"/>
            <w:vMerge w:val="restart"/>
            <w:shd w:val="clear" w:color="auto" w:fill="D9E2F3" w:themeFill="accent1" w:themeFillTint="33"/>
            <w:textDirection w:val="btLr"/>
            <w:vAlign w:val="center"/>
            <w:hideMark/>
          </w:tcPr>
          <w:p w14:paraId="3ED9AF0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Kod jcwp</w:t>
            </w:r>
          </w:p>
        </w:tc>
        <w:tc>
          <w:tcPr>
            <w:tcW w:w="186" w:type="pct"/>
            <w:vMerge w:val="restart"/>
            <w:shd w:val="clear" w:color="auto" w:fill="D9E2F3" w:themeFill="accent1" w:themeFillTint="33"/>
            <w:textDirection w:val="btLr"/>
            <w:vAlign w:val="center"/>
            <w:hideMark/>
          </w:tcPr>
          <w:p w14:paraId="401C0F49"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Nazwa jcwp</w:t>
            </w:r>
          </w:p>
        </w:tc>
        <w:tc>
          <w:tcPr>
            <w:tcW w:w="77" w:type="pct"/>
            <w:vMerge w:val="restart"/>
            <w:shd w:val="clear" w:color="auto" w:fill="D9E2F3" w:themeFill="accent1" w:themeFillTint="33"/>
            <w:textDirection w:val="btLr"/>
            <w:vAlign w:val="center"/>
            <w:hideMark/>
          </w:tcPr>
          <w:p w14:paraId="0F832D67"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Typ abiotyczny jcwp</w:t>
            </w:r>
          </w:p>
        </w:tc>
        <w:tc>
          <w:tcPr>
            <w:tcW w:w="95" w:type="pct"/>
            <w:vMerge w:val="restart"/>
            <w:shd w:val="clear" w:color="auto" w:fill="D9E2F3" w:themeFill="accent1" w:themeFillTint="33"/>
            <w:textDirection w:val="btLr"/>
            <w:vAlign w:val="center"/>
            <w:hideMark/>
          </w:tcPr>
          <w:p w14:paraId="36717FA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Status jcwp</w:t>
            </w:r>
          </w:p>
        </w:tc>
        <w:tc>
          <w:tcPr>
            <w:tcW w:w="87" w:type="pct"/>
            <w:vMerge w:val="restart"/>
            <w:shd w:val="clear" w:color="auto" w:fill="D9E2F3" w:themeFill="accent1" w:themeFillTint="33"/>
            <w:textDirection w:val="btLr"/>
            <w:vAlign w:val="center"/>
            <w:hideMark/>
          </w:tcPr>
          <w:p w14:paraId="3B3A8B66"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Czy obszar badań znajduje się na zbiorniku zaporowym (TAK/NIE)</w:t>
            </w:r>
          </w:p>
        </w:tc>
        <w:tc>
          <w:tcPr>
            <w:tcW w:w="560" w:type="pct"/>
            <w:gridSpan w:val="4"/>
            <w:vMerge w:val="restart"/>
            <w:shd w:val="clear" w:color="auto" w:fill="D9E2F3" w:themeFill="accent1" w:themeFillTint="33"/>
            <w:vAlign w:val="center"/>
            <w:hideMark/>
          </w:tcPr>
          <w:p w14:paraId="50029335"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 xml:space="preserve"> Klasa elementów biologicznych </w:t>
            </w:r>
          </w:p>
        </w:tc>
        <w:tc>
          <w:tcPr>
            <w:tcW w:w="560" w:type="pct"/>
            <w:gridSpan w:val="4"/>
            <w:vMerge w:val="restart"/>
            <w:shd w:val="clear" w:color="auto" w:fill="D9E2F3" w:themeFill="accent1" w:themeFillTint="33"/>
            <w:vAlign w:val="center"/>
            <w:hideMark/>
          </w:tcPr>
          <w:p w14:paraId="0DD63937"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 xml:space="preserve"> Klasa elementów fizykochemicznych (grupa 3.1 - 3.5) </w:t>
            </w:r>
          </w:p>
        </w:tc>
        <w:tc>
          <w:tcPr>
            <w:tcW w:w="775" w:type="pct"/>
            <w:gridSpan w:val="4"/>
            <w:vMerge w:val="restart"/>
            <w:shd w:val="clear" w:color="auto" w:fill="D9E2F3" w:themeFill="accent1" w:themeFillTint="33"/>
            <w:vAlign w:val="center"/>
            <w:hideMark/>
          </w:tcPr>
          <w:p w14:paraId="6E5DA81A"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 xml:space="preserve"> Klasyfikacja stanu / potencjału ekologicznego </w:t>
            </w:r>
          </w:p>
        </w:tc>
        <w:tc>
          <w:tcPr>
            <w:tcW w:w="680" w:type="pct"/>
            <w:gridSpan w:val="3"/>
            <w:vMerge w:val="restart"/>
            <w:shd w:val="clear" w:color="auto" w:fill="D9E2F3" w:themeFill="accent1" w:themeFillTint="33"/>
            <w:vAlign w:val="center"/>
            <w:hideMark/>
          </w:tcPr>
          <w:p w14:paraId="1A06E555"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 xml:space="preserve"> Klasyfikacja stanu chemicznego </w:t>
            </w:r>
          </w:p>
        </w:tc>
        <w:tc>
          <w:tcPr>
            <w:tcW w:w="504" w:type="pct"/>
            <w:gridSpan w:val="3"/>
            <w:vMerge w:val="restart"/>
            <w:shd w:val="clear" w:color="auto" w:fill="D9E2F3" w:themeFill="accent1" w:themeFillTint="33"/>
            <w:vAlign w:val="center"/>
            <w:hideMark/>
          </w:tcPr>
          <w:p w14:paraId="1598B956"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 xml:space="preserve"> Ocena stanu jcwp </w:t>
            </w:r>
          </w:p>
        </w:tc>
      </w:tr>
      <w:tr w:rsidR="00EF1A17" w:rsidRPr="00213798" w14:paraId="21ED5250" w14:textId="77777777" w:rsidTr="0007078D">
        <w:trPr>
          <w:trHeight w:val="509"/>
        </w:trPr>
        <w:tc>
          <w:tcPr>
            <w:tcW w:w="94" w:type="pct"/>
            <w:vMerge/>
            <w:shd w:val="clear" w:color="auto" w:fill="D9E2F3" w:themeFill="accent1" w:themeFillTint="33"/>
            <w:vAlign w:val="center"/>
            <w:hideMark/>
          </w:tcPr>
          <w:p w14:paraId="7BB4C955"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11" w:type="pct"/>
            <w:vMerge/>
            <w:shd w:val="clear" w:color="auto" w:fill="D9E2F3" w:themeFill="accent1" w:themeFillTint="33"/>
            <w:vAlign w:val="center"/>
            <w:hideMark/>
          </w:tcPr>
          <w:p w14:paraId="619CBB43"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457" w:type="pct"/>
            <w:vMerge/>
            <w:shd w:val="clear" w:color="auto" w:fill="D9E2F3" w:themeFill="accent1" w:themeFillTint="33"/>
            <w:vAlign w:val="center"/>
            <w:hideMark/>
          </w:tcPr>
          <w:p w14:paraId="54C8DD12"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394" w:type="pct"/>
            <w:vMerge/>
            <w:shd w:val="clear" w:color="auto" w:fill="D9E2F3" w:themeFill="accent1" w:themeFillTint="33"/>
            <w:vAlign w:val="center"/>
            <w:hideMark/>
          </w:tcPr>
          <w:p w14:paraId="38D5CC50"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6" w:type="pct"/>
            <w:vMerge/>
            <w:shd w:val="clear" w:color="auto" w:fill="D9E2F3" w:themeFill="accent1" w:themeFillTint="33"/>
            <w:vAlign w:val="center"/>
            <w:hideMark/>
          </w:tcPr>
          <w:p w14:paraId="7D0BEB8E"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34" w:type="pct"/>
            <w:vMerge/>
            <w:shd w:val="clear" w:color="auto" w:fill="D9E2F3" w:themeFill="accent1" w:themeFillTint="33"/>
            <w:vAlign w:val="center"/>
            <w:hideMark/>
          </w:tcPr>
          <w:p w14:paraId="4D58A643"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86" w:type="pct"/>
            <w:vMerge/>
            <w:shd w:val="clear" w:color="auto" w:fill="D9E2F3" w:themeFill="accent1" w:themeFillTint="33"/>
            <w:vAlign w:val="center"/>
            <w:hideMark/>
          </w:tcPr>
          <w:p w14:paraId="5CEF45F5"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77" w:type="pct"/>
            <w:vMerge/>
            <w:shd w:val="clear" w:color="auto" w:fill="D9E2F3" w:themeFill="accent1" w:themeFillTint="33"/>
            <w:vAlign w:val="center"/>
            <w:hideMark/>
          </w:tcPr>
          <w:p w14:paraId="625BBE3D"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95" w:type="pct"/>
            <w:vMerge/>
            <w:shd w:val="clear" w:color="auto" w:fill="D9E2F3" w:themeFill="accent1" w:themeFillTint="33"/>
            <w:vAlign w:val="center"/>
            <w:hideMark/>
          </w:tcPr>
          <w:p w14:paraId="749E1C20"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7" w:type="pct"/>
            <w:vMerge/>
            <w:shd w:val="clear" w:color="auto" w:fill="D9E2F3" w:themeFill="accent1" w:themeFillTint="33"/>
            <w:vAlign w:val="center"/>
            <w:hideMark/>
          </w:tcPr>
          <w:p w14:paraId="70A9DC07"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560" w:type="pct"/>
            <w:gridSpan w:val="4"/>
            <w:vMerge/>
            <w:shd w:val="clear" w:color="auto" w:fill="D9E2F3" w:themeFill="accent1" w:themeFillTint="33"/>
            <w:vAlign w:val="center"/>
            <w:hideMark/>
          </w:tcPr>
          <w:p w14:paraId="3F6AE1AB"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560" w:type="pct"/>
            <w:gridSpan w:val="4"/>
            <w:vMerge/>
            <w:shd w:val="clear" w:color="auto" w:fill="D9E2F3" w:themeFill="accent1" w:themeFillTint="33"/>
            <w:vAlign w:val="center"/>
            <w:hideMark/>
          </w:tcPr>
          <w:p w14:paraId="026030F8"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775" w:type="pct"/>
            <w:gridSpan w:val="4"/>
            <w:vMerge/>
            <w:shd w:val="clear" w:color="auto" w:fill="D9E2F3" w:themeFill="accent1" w:themeFillTint="33"/>
            <w:vAlign w:val="center"/>
            <w:hideMark/>
          </w:tcPr>
          <w:p w14:paraId="3F435763"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680" w:type="pct"/>
            <w:gridSpan w:val="3"/>
            <w:vMerge/>
            <w:shd w:val="clear" w:color="auto" w:fill="D9E2F3" w:themeFill="accent1" w:themeFillTint="33"/>
            <w:vAlign w:val="center"/>
            <w:hideMark/>
          </w:tcPr>
          <w:p w14:paraId="157C3AC6"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504" w:type="pct"/>
            <w:gridSpan w:val="3"/>
            <w:vMerge/>
            <w:shd w:val="clear" w:color="auto" w:fill="D9E2F3" w:themeFill="accent1" w:themeFillTint="33"/>
            <w:vAlign w:val="center"/>
            <w:hideMark/>
          </w:tcPr>
          <w:p w14:paraId="59E7852F"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r>
      <w:tr w:rsidR="00EF1A17" w:rsidRPr="00213798" w14:paraId="40FA86CF" w14:textId="77777777" w:rsidTr="0007078D">
        <w:trPr>
          <w:trHeight w:val="509"/>
        </w:trPr>
        <w:tc>
          <w:tcPr>
            <w:tcW w:w="94" w:type="pct"/>
            <w:vMerge/>
            <w:shd w:val="clear" w:color="auto" w:fill="D9E2F3" w:themeFill="accent1" w:themeFillTint="33"/>
            <w:vAlign w:val="center"/>
            <w:hideMark/>
          </w:tcPr>
          <w:p w14:paraId="287B92AB"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11" w:type="pct"/>
            <w:vMerge/>
            <w:shd w:val="clear" w:color="auto" w:fill="D9E2F3" w:themeFill="accent1" w:themeFillTint="33"/>
            <w:vAlign w:val="center"/>
            <w:hideMark/>
          </w:tcPr>
          <w:p w14:paraId="27B6682A"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457" w:type="pct"/>
            <w:vMerge/>
            <w:shd w:val="clear" w:color="auto" w:fill="D9E2F3" w:themeFill="accent1" w:themeFillTint="33"/>
            <w:vAlign w:val="center"/>
            <w:hideMark/>
          </w:tcPr>
          <w:p w14:paraId="1BC6D605"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394" w:type="pct"/>
            <w:vMerge/>
            <w:shd w:val="clear" w:color="auto" w:fill="D9E2F3" w:themeFill="accent1" w:themeFillTint="33"/>
            <w:vAlign w:val="center"/>
            <w:hideMark/>
          </w:tcPr>
          <w:p w14:paraId="360D5196"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6" w:type="pct"/>
            <w:vMerge/>
            <w:shd w:val="clear" w:color="auto" w:fill="D9E2F3" w:themeFill="accent1" w:themeFillTint="33"/>
            <w:vAlign w:val="center"/>
            <w:hideMark/>
          </w:tcPr>
          <w:p w14:paraId="37FFC42E"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34" w:type="pct"/>
            <w:vMerge/>
            <w:shd w:val="clear" w:color="auto" w:fill="D9E2F3" w:themeFill="accent1" w:themeFillTint="33"/>
            <w:vAlign w:val="center"/>
            <w:hideMark/>
          </w:tcPr>
          <w:p w14:paraId="6A15E6A2"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86" w:type="pct"/>
            <w:vMerge/>
            <w:shd w:val="clear" w:color="auto" w:fill="D9E2F3" w:themeFill="accent1" w:themeFillTint="33"/>
            <w:vAlign w:val="center"/>
            <w:hideMark/>
          </w:tcPr>
          <w:p w14:paraId="653DD175"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77" w:type="pct"/>
            <w:vMerge/>
            <w:shd w:val="clear" w:color="auto" w:fill="D9E2F3" w:themeFill="accent1" w:themeFillTint="33"/>
            <w:vAlign w:val="center"/>
            <w:hideMark/>
          </w:tcPr>
          <w:p w14:paraId="0F9951F8"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95" w:type="pct"/>
            <w:vMerge/>
            <w:shd w:val="clear" w:color="auto" w:fill="D9E2F3" w:themeFill="accent1" w:themeFillTint="33"/>
            <w:vAlign w:val="center"/>
            <w:hideMark/>
          </w:tcPr>
          <w:p w14:paraId="07EA501E"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7" w:type="pct"/>
            <w:vMerge/>
            <w:shd w:val="clear" w:color="auto" w:fill="D9E2F3" w:themeFill="accent1" w:themeFillTint="33"/>
            <w:vAlign w:val="center"/>
            <w:hideMark/>
          </w:tcPr>
          <w:p w14:paraId="43104B24"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60" w:type="pct"/>
            <w:vMerge w:val="restart"/>
            <w:shd w:val="clear" w:color="auto" w:fill="D9E2F3" w:themeFill="accent1" w:themeFillTint="33"/>
            <w:vAlign w:val="center"/>
            <w:hideMark/>
          </w:tcPr>
          <w:p w14:paraId="631F7F6A"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Rok najstarszych badań</w:t>
            </w:r>
          </w:p>
        </w:tc>
        <w:tc>
          <w:tcPr>
            <w:tcW w:w="166" w:type="pct"/>
            <w:vMerge w:val="restart"/>
            <w:shd w:val="clear" w:color="auto" w:fill="D9E2F3" w:themeFill="accent1" w:themeFillTint="33"/>
            <w:vAlign w:val="center"/>
            <w:hideMark/>
          </w:tcPr>
          <w:p w14:paraId="4A67EF75"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Rok najnowszych badań</w:t>
            </w:r>
          </w:p>
        </w:tc>
        <w:tc>
          <w:tcPr>
            <w:tcW w:w="133" w:type="pct"/>
            <w:vMerge w:val="restart"/>
            <w:shd w:val="clear" w:color="auto" w:fill="D9E2F3" w:themeFill="accent1" w:themeFillTint="33"/>
            <w:vAlign w:val="center"/>
            <w:hideMark/>
          </w:tcPr>
          <w:p w14:paraId="105A2F3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PoM</w:t>
            </w:r>
          </w:p>
        </w:tc>
        <w:tc>
          <w:tcPr>
            <w:tcW w:w="100" w:type="pct"/>
            <w:vMerge w:val="restart"/>
            <w:shd w:val="clear" w:color="auto" w:fill="D9E2F3" w:themeFill="accent1" w:themeFillTint="33"/>
            <w:vAlign w:val="center"/>
            <w:hideMark/>
          </w:tcPr>
          <w:p w14:paraId="6ED18D3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Klasa</w:t>
            </w:r>
          </w:p>
        </w:tc>
        <w:tc>
          <w:tcPr>
            <w:tcW w:w="160" w:type="pct"/>
            <w:vMerge w:val="restart"/>
            <w:shd w:val="clear" w:color="auto" w:fill="D9E2F3" w:themeFill="accent1" w:themeFillTint="33"/>
            <w:vAlign w:val="center"/>
            <w:hideMark/>
          </w:tcPr>
          <w:p w14:paraId="78247BE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Rok najstarszych badań</w:t>
            </w:r>
          </w:p>
        </w:tc>
        <w:tc>
          <w:tcPr>
            <w:tcW w:w="166" w:type="pct"/>
            <w:vMerge w:val="restart"/>
            <w:shd w:val="clear" w:color="auto" w:fill="D9E2F3" w:themeFill="accent1" w:themeFillTint="33"/>
            <w:vAlign w:val="center"/>
            <w:hideMark/>
          </w:tcPr>
          <w:p w14:paraId="2AB355C5"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Rok najnowszych badań</w:t>
            </w:r>
          </w:p>
        </w:tc>
        <w:tc>
          <w:tcPr>
            <w:tcW w:w="133" w:type="pct"/>
            <w:vMerge w:val="restart"/>
            <w:shd w:val="clear" w:color="auto" w:fill="D9E2F3" w:themeFill="accent1" w:themeFillTint="33"/>
            <w:vAlign w:val="center"/>
            <w:hideMark/>
          </w:tcPr>
          <w:p w14:paraId="3CEE273B"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PoM</w:t>
            </w:r>
          </w:p>
        </w:tc>
        <w:tc>
          <w:tcPr>
            <w:tcW w:w="100" w:type="pct"/>
            <w:vMerge w:val="restart"/>
            <w:shd w:val="clear" w:color="auto" w:fill="D9E2F3" w:themeFill="accent1" w:themeFillTint="33"/>
            <w:vAlign w:val="center"/>
            <w:hideMark/>
          </w:tcPr>
          <w:p w14:paraId="1763D2E9"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Klasa</w:t>
            </w:r>
          </w:p>
        </w:tc>
        <w:tc>
          <w:tcPr>
            <w:tcW w:w="170" w:type="pct"/>
            <w:vMerge w:val="restart"/>
            <w:shd w:val="clear" w:color="auto" w:fill="D9E2F3" w:themeFill="accent1" w:themeFillTint="33"/>
            <w:vAlign w:val="center"/>
            <w:hideMark/>
          </w:tcPr>
          <w:p w14:paraId="6B9EEB44"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najstarszych badań</w:t>
            </w:r>
          </w:p>
        </w:tc>
        <w:tc>
          <w:tcPr>
            <w:tcW w:w="173" w:type="pct"/>
            <w:vMerge w:val="restart"/>
            <w:shd w:val="clear" w:color="auto" w:fill="D9E2F3" w:themeFill="accent1" w:themeFillTint="33"/>
            <w:vAlign w:val="center"/>
            <w:hideMark/>
          </w:tcPr>
          <w:p w14:paraId="4AB47980"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najnowszych badań</w:t>
            </w:r>
          </w:p>
        </w:tc>
        <w:tc>
          <w:tcPr>
            <w:tcW w:w="104" w:type="pct"/>
            <w:vMerge w:val="restart"/>
            <w:shd w:val="clear" w:color="auto" w:fill="D9E2F3" w:themeFill="accent1" w:themeFillTint="33"/>
            <w:vAlign w:val="center"/>
            <w:hideMark/>
          </w:tcPr>
          <w:p w14:paraId="08A60FA0"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Klasa</w:t>
            </w:r>
          </w:p>
        </w:tc>
        <w:tc>
          <w:tcPr>
            <w:tcW w:w="328" w:type="pct"/>
            <w:vMerge w:val="restart"/>
            <w:shd w:val="clear" w:color="auto" w:fill="D9E2F3" w:themeFill="accent1" w:themeFillTint="33"/>
            <w:vAlign w:val="center"/>
            <w:hideMark/>
          </w:tcPr>
          <w:p w14:paraId="65B224B8"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Stan / potencjał ekologiczny</w:t>
            </w:r>
          </w:p>
        </w:tc>
        <w:tc>
          <w:tcPr>
            <w:tcW w:w="170" w:type="pct"/>
            <w:vMerge w:val="restart"/>
            <w:shd w:val="clear" w:color="auto" w:fill="D9E2F3" w:themeFill="accent1" w:themeFillTint="33"/>
            <w:vAlign w:val="center"/>
            <w:hideMark/>
          </w:tcPr>
          <w:p w14:paraId="7E379E80"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najstarszych badań</w:t>
            </w:r>
          </w:p>
        </w:tc>
        <w:tc>
          <w:tcPr>
            <w:tcW w:w="173" w:type="pct"/>
            <w:vMerge w:val="restart"/>
            <w:shd w:val="clear" w:color="auto" w:fill="D9E2F3" w:themeFill="accent1" w:themeFillTint="33"/>
            <w:vAlign w:val="center"/>
            <w:hideMark/>
          </w:tcPr>
          <w:p w14:paraId="36C897C6"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najnowszych badań</w:t>
            </w:r>
          </w:p>
        </w:tc>
        <w:tc>
          <w:tcPr>
            <w:tcW w:w="338" w:type="pct"/>
            <w:vMerge w:val="restart"/>
            <w:shd w:val="clear" w:color="auto" w:fill="D9E2F3" w:themeFill="accent1" w:themeFillTint="33"/>
            <w:vAlign w:val="center"/>
            <w:hideMark/>
          </w:tcPr>
          <w:p w14:paraId="487369C3"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Stan chemiczny</w:t>
            </w:r>
          </w:p>
        </w:tc>
        <w:tc>
          <w:tcPr>
            <w:tcW w:w="170" w:type="pct"/>
            <w:vMerge w:val="restart"/>
            <w:shd w:val="clear" w:color="auto" w:fill="D9E2F3" w:themeFill="accent1" w:themeFillTint="33"/>
            <w:vAlign w:val="center"/>
            <w:hideMark/>
          </w:tcPr>
          <w:p w14:paraId="0EAD27B9"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najstarszych badań</w:t>
            </w:r>
          </w:p>
        </w:tc>
        <w:tc>
          <w:tcPr>
            <w:tcW w:w="173" w:type="pct"/>
            <w:vMerge w:val="restart"/>
            <w:shd w:val="clear" w:color="auto" w:fill="D9E2F3" w:themeFill="accent1" w:themeFillTint="33"/>
            <w:vAlign w:val="center"/>
            <w:hideMark/>
          </w:tcPr>
          <w:p w14:paraId="23D99B6E"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Rok najnowszych badań</w:t>
            </w:r>
          </w:p>
        </w:tc>
        <w:tc>
          <w:tcPr>
            <w:tcW w:w="162" w:type="pct"/>
            <w:vMerge w:val="restart"/>
            <w:shd w:val="clear" w:color="auto" w:fill="D9E2F3" w:themeFill="accent1" w:themeFillTint="33"/>
            <w:vAlign w:val="center"/>
            <w:hideMark/>
          </w:tcPr>
          <w:p w14:paraId="6E2C9FC7" w14:textId="77777777" w:rsidR="00EF1A17" w:rsidRPr="00213798" w:rsidRDefault="00EF1A17" w:rsidP="00313DA6">
            <w:pPr>
              <w:spacing w:after="0" w:line="240" w:lineRule="auto"/>
              <w:jc w:val="center"/>
              <w:rPr>
                <w:rFonts w:ascii="Times New Roman" w:eastAsia="Times New Roman" w:hAnsi="Times New Roman" w:cs="Times New Roman"/>
                <w:b/>
                <w:bCs/>
                <w:sz w:val="10"/>
                <w:szCs w:val="10"/>
                <w:lang w:eastAsia="pl-PL"/>
              </w:rPr>
            </w:pPr>
            <w:r w:rsidRPr="00213798">
              <w:rPr>
                <w:rFonts w:ascii="Times New Roman" w:eastAsia="Times New Roman" w:hAnsi="Times New Roman" w:cs="Times New Roman"/>
                <w:b/>
                <w:bCs/>
                <w:sz w:val="10"/>
                <w:szCs w:val="10"/>
                <w:lang w:eastAsia="pl-PL"/>
              </w:rPr>
              <w:t>Ocena</w:t>
            </w:r>
          </w:p>
        </w:tc>
      </w:tr>
      <w:tr w:rsidR="00EF1A17" w:rsidRPr="00213798" w14:paraId="09022006" w14:textId="77777777" w:rsidTr="0007078D">
        <w:trPr>
          <w:trHeight w:val="509"/>
        </w:trPr>
        <w:tc>
          <w:tcPr>
            <w:tcW w:w="94" w:type="pct"/>
            <w:vMerge/>
            <w:shd w:val="clear" w:color="auto" w:fill="D9E2F3" w:themeFill="accent1" w:themeFillTint="33"/>
            <w:vAlign w:val="center"/>
            <w:hideMark/>
          </w:tcPr>
          <w:p w14:paraId="6612943B"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11" w:type="pct"/>
            <w:vMerge/>
            <w:shd w:val="clear" w:color="auto" w:fill="D9E2F3" w:themeFill="accent1" w:themeFillTint="33"/>
            <w:vAlign w:val="center"/>
            <w:hideMark/>
          </w:tcPr>
          <w:p w14:paraId="71CD7DE3"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457" w:type="pct"/>
            <w:vMerge/>
            <w:shd w:val="clear" w:color="auto" w:fill="D9E2F3" w:themeFill="accent1" w:themeFillTint="33"/>
            <w:vAlign w:val="center"/>
            <w:hideMark/>
          </w:tcPr>
          <w:p w14:paraId="7363613A"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394" w:type="pct"/>
            <w:vMerge/>
            <w:shd w:val="clear" w:color="auto" w:fill="D9E2F3" w:themeFill="accent1" w:themeFillTint="33"/>
            <w:vAlign w:val="center"/>
            <w:hideMark/>
          </w:tcPr>
          <w:p w14:paraId="4695E056"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6" w:type="pct"/>
            <w:vMerge/>
            <w:shd w:val="clear" w:color="auto" w:fill="D9E2F3" w:themeFill="accent1" w:themeFillTint="33"/>
            <w:vAlign w:val="center"/>
            <w:hideMark/>
          </w:tcPr>
          <w:p w14:paraId="7ECC1D3A"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234" w:type="pct"/>
            <w:vMerge/>
            <w:shd w:val="clear" w:color="auto" w:fill="D9E2F3" w:themeFill="accent1" w:themeFillTint="33"/>
            <w:vAlign w:val="center"/>
            <w:hideMark/>
          </w:tcPr>
          <w:p w14:paraId="778A400A"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86" w:type="pct"/>
            <w:vMerge/>
            <w:shd w:val="clear" w:color="auto" w:fill="D9E2F3" w:themeFill="accent1" w:themeFillTint="33"/>
            <w:vAlign w:val="center"/>
            <w:hideMark/>
          </w:tcPr>
          <w:p w14:paraId="0DC7B726"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77" w:type="pct"/>
            <w:vMerge/>
            <w:shd w:val="clear" w:color="auto" w:fill="D9E2F3" w:themeFill="accent1" w:themeFillTint="33"/>
            <w:vAlign w:val="center"/>
            <w:hideMark/>
          </w:tcPr>
          <w:p w14:paraId="41C9D57E"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95" w:type="pct"/>
            <w:vMerge/>
            <w:shd w:val="clear" w:color="auto" w:fill="D9E2F3" w:themeFill="accent1" w:themeFillTint="33"/>
            <w:vAlign w:val="center"/>
            <w:hideMark/>
          </w:tcPr>
          <w:p w14:paraId="77100E73"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87" w:type="pct"/>
            <w:vMerge/>
            <w:shd w:val="clear" w:color="auto" w:fill="D9E2F3" w:themeFill="accent1" w:themeFillTint="33"/>
            <w:vAlign w:val="center"/>
            <w:hideMark/>
          </w:tcPr>
          <w:p w14:paraId="3E073D26"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60" w:type="pct"/>
            <w:vMerge/>
            <w:shd w:val="clear" w:color="auto" w:fill="D9E2F3" w:themeFill="accent1" w:themeFillTint="33"/>
            <w:vAlign w:val="center"/>
            <w:hideMark/>
          </w:tcPr>
          <w:p w14:paraId="36C1BFE2"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66" w:type="pct"/>
            <w:vMerge/>
            <w:shd w:val="clear" w:color="auto" w:fill="D9E2F3" w:themeFill="accent1" w:themeFillTint="33"/>
            <w:vAlign w:val="center"/>
            <w:hideMark/>
          </w:tcPr>
          <w:p w14:paraId="41EB1C37"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33" w:type="pct"/>
            <w:vMerge/>
            <w:shd w:val="clear" w:color="auto" w:fill="D9E2F3" w:themeFill="accent1" w:themeFillTint="33"/>
            <w:vAlign w:val="center"/>
            <w:hideMark/>
          </w:tcPr>
          <w:p w14:paraId="73A63F05"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00" w:type="pct"/>
            <w:vMerge/>
            <w:shd w:val="clear" w:color="auto" w:fill="D9E2F3" w:themeFill="accent1" w:themeFillTint="33"/>
            <w:vAlign w:val="center"/>
            <w:hideMark/>
          </w:tcPr>
          <w:p w14:paraId="4BCCA93D"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60" w:type="pct"/>
            <w:vMerge/>
            <w:shd w:val="clear" w:color="auto" w:fill="D9E2F3" w:themeFill="accent1" w:themeFillTint="33"/>
            <w:vAlign w:val="center"/>
            <w:hideMark/>
          </w:tcPr>
          <w:p w14:paraId="05855DE8"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66" w:type="pct"/>
            <w:vMerge/>
            <w:shd w:val="clear" w:color="auto" w:fill="D9E2F3" w:themeFill="accent1" w:themeFillTint="33"/>
            <w:vAlign w:val="center"/>
            <w:hideMark/>
          </w:tcPr>
          <w:p w14:paraId="68705177"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33" w:type="pct"/>
            <w:vMerge/>
            <w:shd w:val="clear" w:color="auto" w:fill="D9E2F3" w:themeFill="accent1" w:themeFillTint="33"/>
            <w:vAlign w:val="center"/>
            <w:hideMark/>
          </w:tcPr>
          <w:p w14:paraId="37F2274F"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00" w:type="pct"/>
            <w:vMerge/>
            <w:shd w:val="clear" w:color="auto" w:fill="D9E2F3" w:themeFill="accent1" w:themeFillTint="33"/>
            <w:vAlign w:val="center"/>
            <w:hideMark/>
          </w:tcPr>
          <w:p w14:paraId="5FDADCCF" w14:textId="77777777" w:rsidR="00EF1A17" w:rsidRPr="00213798" w:rsidRDefault="00EF1A17" w:rsidP="00313DA6">
            <w:pPr>
              <w:spacing w:after="0" w:line="240" w:lineRule="auto"/>
              <w:rPr>
                <w:rFonts w:ascii="Times New Roman" w:eastAsia="Times New Roman" w:hAnsi="Times New Roman" w:cs="Times New Roman"/>
                <w:sz w:val="10"/>
                <w:szCs w:val="10"/>
                <w:lang w:eastAsia="pl-PL"/>
              </w:rPr>
            </w:pPr>
          </w:p>
        </w:tc>
        <w:tc>
          <w:tcPr>
            <w:tcW w:w="170" w:type="pct"/>
            <w:vMerge/>
            <w:shd w:val="clear" w:color="auto" w:fill="D9E2F3" w:themeFill="accent1" w:themeFillTint="33"/>
            <w:vAlign w:val="center"/>
            <w:hideMark/>
          </w:tcPr>
          <w:p w14:paraId="6A55EC9B"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73" w:type="pct"/>
            <w:vMerge/>
            <w:shd w:val="clear" w:color="auto" w:fill="D9E2F3" w:themeFill="accent1" w:themeFillTint="33"/>
            <w:vAlign w:val="center"/>
            <w:hideMark/>
          </w:tcPr>
          <w:p w14:paraId="7D62D65D"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04" w:type="pct"/>
            <w:vMerge/>
            <w:shd w:val="clear" w:color="auto" w:fill="D9E2F3" w:themeFill="accent1" w:themeFillTint="33"/>
            <w:vAlign w:val="center"/>
            <w:hideMark/>
          </w:tcPr>
          <w:p w14:paraId="53C6A8BE"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328" w:type="pct"/>
            <w:vMerge/>
            <w:shd w:val="clear" w:color="auto" w:fill="D9E2F3" w:themeFill="accent1" w:themeFillTint="33"/>
            <w:vAlign w:val="center"/>
            <w:hideMark/>
          </w:tcPr>
          <w:p w14:paraId="07445DB7"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70" w:type="pct"/>
            <w:vMerge/>
            <w:shd w:val="clear" w:color="auto" w:fill="D9E2F3" w:themeFill="accent1" w:themeFillTint="33"/>
            <w:vAlign w:val="center"/>
            <w:hideMark/>
          </w:tcPr>
          <w:p w14:paraId="64CBDD0A"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73" w:type="pct"/>
            <w:vMerge/>
            <w:shd w:val="clear" w:color="auto" w:fill="D9E2F3" w:themeFill="accent1" w:themeFillTint="33"/>
            <w:vAlign w:val="center"/>
            <w:hideMark/>
          </w:tcPr>
          <w:p w14:paraId="7BEBC53C"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338" w:type="pct"/>
            <w:vMerge/>
            <w:shd w:val="clear" w:color="auto" w:fill="D9E2F3" w:themeFill="accent1" w:themeFillTint="33"/>
            <w:vAlign w:val="center"/>
            <w:hideMark/>
          </w:tcPr>
          <w:p w14:paraId="1EFA91A0"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70" w:type="pct"/>
            <w:vMerge/>
            <w:shd w:val="clear" w:color="auto" w:fill="D9E2F3" w:themeFill="accent1" w:themeFillTint="33"/>
            <w:vAlign w:val="center"/>
            <w:hideMark/>
          </w:tcPr>
          <w:p w14:paraId="0DB1604C"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73" w:type="pct"/>
            <w:vMerge/>
            <w:shd w:val="clear" w:color="auto" w:fill="D9E2F3" w:themeFill="accent1" w:themeFillTint="33"/>
            <w:vAlign w:val="center"/>
            <w:hideMark/>
          </w:tcPr>
          <w:p w14:paraId="68C80DC9"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c>
          <w:tcPr>
            <w:tcW w:w="162" w:type="pct"/>
            <w:vMerge/>
            <w:shd w:val="clear" w:color="auto" w:fill="D9E2F3" w:themeFill="accent1" w:themeFillTint="33"/>
            <w:vAlign w:val="center"/>
            <w:hideMark/>
          </w:tcPr>
          <w:p w14:paraId="5DC5D17A" w14:textId="77777777" w:rsidR="00EF1A17" w:rsidRPr="00213798" w:rsidRDefault="00EF1A17" w:rsidP="00313DA6">
            <w:pPr>
              <w:spacing w:after="0" w:line="240" w:lineRule="auto"/>
              <w:rPr>
                <w:rFonts w:ascii="Times New Roman" w:eastAsia="Times New Roman" w:hAnsi="Times New Roman" w:cs="Times New Roman"/>
                <w:b/>
                <w:bCs/>
                <w:sz w:val="10"/>
                <w:szCs w:val="10"/>
                <w:lang w:eastAsia="pl-PL"/>
              </w:rPr>
            </w:pPr>
          </w:p>
        </w:tc>
      </w:tr>
      <w:tr w:rsidR="00EF1A17" w:rsidRPr="00213798" w14:paraId="03D09999" w14:textId="77777777" w:rsidTr="0007078D">
        <w:trPr>
          <w:trHeight w:val="300"/>
        </w:trPr>
        <w:tc>
          <w:tcPr>
            <w:tcW w:w="94" w:type="pct"/>
            <w:shd w:val="clear" w:color="auto" w:fill="auto"/>
            <w:noWrap/>
            <w:vAlign w:val="center"/>
            <w:hideMark/>
          </w:tcPr>
          <w:p w14:paraId="31932C78"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1056</w:t>
            </w:r>
          </w:p>
        </w:tc>
        <w:tc>
          <w:tcPr>
            <w:tcW w:w="211" w:type="pct"/>
            <w:shd w:val="clear" w:color="auto" w:fill="auto"/>
            <w:noWrap/>
            <w:vAlign w:val="center"/>
            <w:hideMark/>
          </w:tcPr>
          <w:p w14:paraId="761DCA76"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PL01S0701_1106</w:t>
            </w:r>
          </w:p>
        </w:tc>
        <w:tc>
          <w:tcPr>
            <w:tcW w:w="457" w:type="pct"/>
            <w:shd w:val="clear" w:color="auto" w:fill="auto"/>
            <w:noWrap/>
            <w:vAlign w:val="center"/>
            <w:hideMark/>
          </w:tcPr>
          <w:p w14:paraId="6FED0D05"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Czarna-Cedron - Góra Kalwaria, uj. do Wisły</w:t>
            </w:r>
          </w:p>
        </w:tc>
        <w:tc>
          <w:tcPr>
            <w:tcW w:w="394" w:type="pct"/>
            <w:shd w:val="clear" w:color="auto" w:fill="auto"/>
            <w:noWrap/>
            <w:vAlign w:val="center"/>
            <w:hideMark/>
          </w:tcPr>
          <w:p w14:paraId="7419784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Departament Monitoringu Środowiska</w:t>
            </w:r>
          </w:p>
        </w:tc>
        <w:tc>
          <w:tcPr>
            <w:tcW w:w="86" w:type="pct"/>
            <w:shd w:val="clear" w:color="auto" w:fill="auto"/>
            <w:noWrap/>
            <w:vAlign w:val="center"/>
            <w:hideMark/>
          </w:tcPr>
          <w:p w14:paraId="1027C7DC"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RW</w:t>
            </w:r>
          </w:p>
        </w:tc>
        <w:tc>
          <w:tcPr>
            <w:tcW w:w="234" w:type="pct"/>
            <w:shd w:val="clear" w:color="auto" w:fill="auto"/>
            <w:noWrap/>
            <w:vAlign w:val="center"/>
            <w:hideMark/>
          </w:tcPr>
          <w:p w14:paraId="612AFFD6"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PLRW20001725549</w:t>
            </w:r>
          </w:p>
        </w:tc>
        <w:tc>
          <w:tcPr>
            <w:tcW w:w="186" w:type="pct"/>
            <w:shd w:val="clear" w:color="auto" w:fill="auto"/>
            <w:noWrap/>
            <w:vAlign w:val="center"/>
            <w:hideMark/>
          </w:tcPr>
          <w:p w14:paraId="49A5A86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Czarna-Cedron</w:t>
            </w:r>
          </w:p>
        </w:tc>
        <w:tc>
          <w:tcPr>
            <w:tcW w:w="77" w:type="pct"/>
            <w:shd w:val="clear" w:color="auto" w:fill="auto"/>
            <w:noWrap/>
            <w:vAlign w:val="center"/>
            <w:hideMark/>
          </w:tcPr>
          <w:p w14:paraId="733B6F2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17</w:t>
            </w:r>
          </w:p>
        </w:tc>
        <w:tc>
          <w:tcPr>
            <w:tcW w:w="95" w:type="pct"/>
            <w:shd w:val="clear" w:color="auto" w:fill="auto"/>
            <w:noWrap/>
            <w:vAlign w:val="center"/>
            <w:hideMark/>
          </w:tcPr>
          <w:p w14:paraId="4A25352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NAT</w:t>
            </w:r>
          </w:p>
        </w:tc>
        <w:tc>
          <w:tcPr>
            <w:tcW w:w="87" w:type="pct"/>
            <w:shd w:val="clear" w:color="auto" w:fill="auto"/>
            <w:noWrap/>
            <w:vAlign w:val="center"/>
            <w:hideMark/>
          </w:tcPr>
          <w:p w14:paraId="1074829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NIE</w:t>
            </w:r>
          </w:p>
        </w:tc>
        <w:tc>
          <w:tcPr>
            <w:tcW w:w="160" w:type="pct"/>
            <w:shd w:val="clear" w:color="auto" w:fill="auto"/>
            <w:noWrap/>
            <w:vAlign w:val="center"/>
            <w:hideMark/>
          </w:tcPr>
          <w:p w14:paraId="60C3A763"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66" w:type="pct"/>
            <w:shd w:val="clear" w:color="auto" w:fill="auto"/>
            <w:noWrap/>
            <w:vAlign w:val="center"/>
            <w:hideMark/>
          </w:tcPr>
          <w:p w14:paraId="4CF95F73"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33" w:type="pct"/>
            <w:shd w:val="clear" w:color="auto" w:fill="auto"/>
            <w:noWrap/>
            <w:vAlign w:val="center"/>
            <w:hideMark/>
          </w:tcPr>
          <w:p w14:paraId="15CF9A7E"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0,917537</w:t>
            </w:r>
          </w:p>
        </w:tc>
        <w:tc>
          <w:tcPr>
            <w:tcW w:w="100" w:type="pct"/>
            <w:shd w:val="clear" w:color="000000" w:fill="FFFF00"/>
            <w:noWrap/>
            <w:vAlign w:val="center"/>
            <w:hideMark/>
          </w:tcPr>
          <w:p w14:paraId="586693D6"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3</w:t>
            </w:r>
          </w:p>
        </w:tc>
        <w:tc>
          <w:tcPr>
            <w:tcW w:w="160" w:type="pct"/>
            <w:shd w:val="clear" w:color="auto" w:fill="auto"/>
            <w:noWrap/>
            <w:vAlign w:val="center"/>
            <w:hideMark/>
          </w:tcPr>
          <w:p w14:paraId="72425E31"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66" w:type="pct"/>
            <w:shd w:val="clear" w:color="auto" w:fill="auto"/>
            <w:noWrap/>
            <w:vAlign w:val="center"/>
            <w:hideMark/>
          </w:tcPr>
          <w:p w14:paraId="77247BC1"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33" w:type="pct"/>
            <w:shd w:val="clear" w:color="auto" w:fill="auto"/>
            <w:noWrap/>
            <w:vAlign w:val="center"/>
            <w:hideMark/>
          </w:tcPr>
          <w:p w14:paraId="4DAC81FD"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0,545384</w:t>
            </w:r>
          </w:p>
        </w:tc>
        <w:tc>
          <w:tcPr>
            <w:tcW w:w="100" w:type="pct"/>
            <w:shd w:val="clear" w:color="000000" w:fill="FFFF00"/>
            <w:noWrap/>
            <w:vAlign w:val="center"/>
            <w:hideMark/>
          </w:tcPr>
          <w:p w14:paraId="6E03AFE2"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&gt;2</w:t>
            </w:r>
          </w:p>
        </w:tc>
        <w:tc>
          <w:tcPr>
            <w:tcW w:w="170" w:type="pct"/>
            <w:shd w:val="clear" w:color="auto" w:fill="auto"/>
            <w:noWrap/>
            <w:vAlign w:val="center"/>
            <w:hideMark/>
          </w:tcPr>
          <w:p w14:paraId="1E7F5D4D"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73" w:type="pct"/>
            <w:shd w:val="clear" w:color="auto" w:fill="auto"/>
            <w:noWrap/>
            <w:vAlign w:val="center"/>
            <w:hideMark/>
          </w:tcPr>
          <w:p w14:paraId="172B118A"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04" w:type="pct"/>
            <w:shd w:val="clear" w:color="auto" w:fill="auto"/>
            <w:noWrap/>
            <w:vAlign w:val="center"/>
            <w:hideMark/>
          </w:tcPr>
          <w:p w14:paraId="6A4CA84F"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3</w:t>
            </w:r>
          </w:p>
        </w:tc>
        <w:tc>
          <w:tcPr>
            <w:tcW w:w="328" w:type="pct"/>
            <w:shd w:val="clear" w:color="000000" w:fill="FFFF00"/>
            <w:noWrap/>
            <w:vAlign w:val="center"/>
            <w:hideMark/>
          </w:tcPr>
          <w:p w14:paraId="19E1BBFD"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umiarkowany stan ekologiczny</w:t>
            </w:r>
          </w:p>
        </w:tc>
        <w:tc>
          <w:tcPr>
            <w:tcW w:w="170" w:type="pct"/>
            <w:shd w:val="clear" w:color="auto" w:fill="auto"/>
            <w:noWrap/>
            <w:vAlign w:val="center"/>
            <w:hideMark/>
          </w:tcPr>
          <w:p w14:paraId="03F591DC"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73" w:type="pct"/>
            <w:shd w:val="clear" w:color="auto" w:fill="auto"/>
            <w:noWrap/>
            <w:vAlign w:val="center"/>
            <w:hideMark/>
          </w:tcPr>
          <w:p w14:paraId="7EE95A31"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2021</w:t>
            </w:r>
          </w:p>
        </w:tc>
        <w:tc>
          <w:tcPr>
            <w:tcW w:w="338" w:type="pct"/>
            <w:shd w:val="clear" w:color="000000" w:fill="FF0000"/>
            <w:noWrap/>
            <w:vAlign w:val="center"/>
            <w:hideMark/>
          </w:tcPr>
          <w:p w14:paraId="59360F9F"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stan chemiczny poniżej dobrego</w:t>
            </w:r>
          </w:p>
        </w:tc>
        <w:tc>
          <w:tcPr>
            <w:tcW w:w="170" w:type="pct"/>
            <w:shd w:val="clear" w:color="auto" w:fill="auto"/>
            <w:noWrap/>
            <w:vAlign w:val="center"/>
            <w:hideMark/>
          </w:tcPr>
          <w:p w14:paraId="0A02307D"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2019</w:t>
            </w:r>
          </w:p>
        </w:tc>
        <w:tc>
          <w:tcPr>
            <w:tcW w:w="173" w:type="pct"/>
            <w:shd w:val="clear" w:color="auto" w:fill="auto"/>
            <w:noWrap/>
            <w:vAlign w:val="center"/>
            <w:hideMark/>
          </w:tcPr>
          <w:p w14:paraId="110AEA34"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2021</w:t>
            </w:r>
          </w:p>
        </w:tc>
        <w:tc>
          <w:tcPr>
            <w:tcW w:w="162" w:type="pct"/>
            <w:shd w:val="clear" w:color="000000" w:fill="FF0000"/>
            <w:noWrap/>
            <w:vAlign w:val="center"/>
            <w:hideMark/>
          </w:tcPr>
          <w:p w14:paraId="6AC7889B" w14:textId="77777777" w:rsidR="00EF1A17" w:rsidRPr="00213798" w:rsidRDefault="00EF1A17" w:rsidP="00313DA6">
            <w:pPr>
              <w:spacing w:after="0" w:line="240" w:lineRule="auto"/>
              <w:jc w:val="center"/>
              <w:rPr>
                <w:rFonts w:ascii="Times New Roman" w:eastAsia="Times New Roman" w:hAnsi="Times New Roman" w:cs="Times New Roman"/>
                <w:sz w:val="10"/>
                <w:szCs w:val="10"/>
                <w:lang w:eastAsia="pl-PL"/>
              </w:rPr>
            </w:pPr>
            <w:r w:rsidRPr="00213798">
              <w:rPr>
                <w:rFonts w:ascii="Times New Roman" w:eastAsia="Times New Roman" w:hAnsi="Times New Roman" w:cs="Times New Roman"/>
                <w:sz w:val="10"/>
                <w:szCs w:val="10"/>
                <w:lang w:eastAsia="pl-PL"/>
              </w:rPr>
              <w:t>zły stan wód</w:t>
            </w:r>
          </w:p>
        </w:tc>
      </w:tr>
    </w:tbl>
    <w:p w14:paraId="74A13CA6" w14:textId="77777777" w:rsidR="00EF1A17" w:rsidRPr="00213798" w:rsidRDefault="00EF1A17" w:rsidP="00EF1A17">
      <w:pPr>
        <w:pStyle w:val="Default"/>
        <w:rPr>
          <w:rFonts w:ascii="Times New Roman" w:hAnsi="Times New Roman" w:cs="Times New Roman"/>
        </w:rPr>
      </w:pPr>
      <w:r w:rsidRPr="00213798">
        <w:rPr>
          <w:rFonts w:ascii="Times New Roman" w:hAnsi="Times New Roman" w:cs="Times New Roman"/>
          <w:sz w:val="23"/>
          <w:szCs w:val="23"/>
        </w:rPr>
        <w:t>Źródło: Główny Inspektorat Ochrony Środowiska. Portal jakości wód powierzchniowych.</w:t>
      </w:r>
      <w:r w:rsidRPr="00213798">
        <w:rPr>
          <w:rFonts w:ascii="Times New Roman" w:hAnsi="Times New Roman" w:cs="Times New Roman"/>
        </w:rPr>
        <w:t xml:space="preserve"> </w:t>
      </w:r>
      <w:r w:rsidRPr="00213798">
        <w:rPr>
          <w:rFonts w:ascii="Times New Roman" w:hAnsi="Times New Roman" w:cs="Times New Roman"/>
          <w:sz w:val="21"/>
          <w:szCs w:val="21"/>
        </w:rPr>
        <w:t xml:space="preserve">Ocena stanu jednolitych części wód rzek i zbiorników zaporowych w latach 2016-2021 na podstawie monitoringu – tabela; </w:t>
      </w:r>
      <w:hyperlink r:id="rId20" w:history="1">
        <w:r w:rsidRPr="00213798">
          <w:rPr>
            <w:rStyle w:val="Hipercze"/>
            <w:rFonts w:ascii="Times New Roman" w:hAnsi="Times New Roman" w:cs="Times New Roman"/>
            <w:sz w:val="21"/>
            <w:szCs w:val="21"/>
          </w:rPr>
          <w:t>https://wody.gios.gov.pl/pjwp/api/publications/media/515 dostęp 15.10.2022</w:t>
        </w:r>
      </w:hyperlink>
      <w:r w:rsidRPr="00213798">
        <w:rPr>
          <w:rFonts w:ascii="Times New Roman" w:hAnsi="Times New Roman" w:cs="Times New Roman"/>
          <w:sz w:val="21"/>
          <w:szCs w:val="21"/>
        </w:rPr>
        <w:t xml:space="preserve"> r.</w:t>
      </w:r>
    </w:p>
    <w:p w14:paraId="68A0A3BD" w14:textId="77777777" w:rsidR="00EF1A17" w:rsidRPr="00213798" w:rsidRDefault="00EF1A17" w:rsidP="00EF1A17">
      <w:pPr>
        <w:pStyle w:val="Default"/>
        <w:spacing w:line="276" w:lineRule="auto"/>
        <w:jc w:val="both"/>
        <w:rPr>
          <w:rFonts w:ascii="Times New Roman" w:hAnsi="Times New Roman" w:cs="Times New Roman"/>
        </w:rPr>
      </w:pPr>
    </w:p>
    <w:p w14:paraId="75B6782D" w14:textId="77777777" w:rsidR="00EF1A17" w:rsidRPr="00213798" w:rsidRDefault="00EF1A17" w:rsidP="00EF1A17">
      <w:pPr>
        <w:pStyle w:val="Default"/>
        <w:spacing w:line="276" w:lineRule="auto"/>
        <w:jc w:val="both"/>
        <w:rPr>
          <w:rFonts w:ascii="Times New Roman" w:hAnsi="Times New Roman" w:cs="Times New Roman"/>
        </w:rPr>
      </w:pPr>
    </w:p>
    <w:p w14:paraId="742D537A" w14:textId="77777777" w:rsidR="00EF1A17" w:rsidRPr="00213798" w:rsidRDefault="00EF1A17" w:rsidP="00EF1A17">
      <w:pPr>
        <w:pStyle w:val="Default"/>
        <w:spacing w:line="276" w:lineRule="auto"/>
        <w:jc w:val="both"/>
        <w:rPr>
          <w:rFonts w:ascii="Times New Roman" w:hAnsi="Times New Roman" w:cs="Times New Roman"/>
        </w:rPr>
      </w:pPr>
    </w:p>
    <w:p w14:paraId="09E8565A" w14:textId="77777777" w:rsidR="00EF1A17" w:rsidRPr="00213798" w:rsidRDefault="00EF1A17" w:rsidP="00EF1A17">
      <w:pPr>
        <w:pStyle w:val="Default"/>
        <w:spacing w:line="276" w:lineRule="auto"/>
        <w:jc w:val="both"/>
        <w:rPr>
          <w:rFonts w:ascii="Times New Roman" w:hAnsi="Times New Roman" w:cs="Times New Roman"/>
        </w:rPr>
        <w:sectPr w:rsidR="00EF1A17" w:rsidRPr="00213798" w:rsidSect="006B7EDD">
          <w:pgSz w:w="16838" w:h="11906" w:orient="landscape"/>
          <w:pgMar w:top="1417" w:right="1417" w:bottom="1417" w:left="1417" w:header="708" w:footer="708" w:gutter="0"/>
          <w:cols w:space="708"/>
          <w:docGrid w:linePitch="360"/>
        </w:sectPr>
      </w:pPr>
    </w:p>
    <w:p w14:paraId="314564E2" w14:textId="77777777" w:rsidR="00EF1A17" w:rsidRPr="000B14C0" w:rsidRDefault="00EF1A17" w:rsidP="00EF1A17">
      <w:pPr>
        <w:pStyle w:val="Nagwek2"/>
        <w:spacing w:before="0"/>
        <w:rPr>
          <w:rFonts w:ascii="Times New Roman" w:hAnsi="Times New Roman" w:cs="Times New Roman"/>
          <w:b/>
          <w:bCs/>
          <w:color w:val="auto"/>
          <w:sz w:val="24"/>
          <w:szCs w:val="24"/>
        </w:rPr>
      </w:pPr>
      <w:bookmarkStart w:id="32" w:name="_Toc109295618"/>
      <w:r w:rsidRPr="000B14C0">
        <w:rPr>
          <w:rFonts w:ascii="Times New Roman" w:hAnsi="Times New Roman" w:cs="Times New Roman"/>
          <w:b/>
          <w:bCs/>
          <w:color w:val="auto"/>
          <w:sz w:val="24"/>
          <w:szCs w:val="24"/>
        </w:rPr>
        <w:lastRenderedPageBreak/>
        <w:t>Rewitalizacja (obszar zdegradowany, obszar rewitalizacji, założenia i przedsięwzięcia rewitalizacyjne);</w:t>
      </w:r>
      <w:bookmarkEnd w:id="32"/>
    </w:p>
    <w:p w14:paraId="4E3BEFB1" w14:textId="7A0851FD" w:rsidR="00EF1A17" w:rsidRDefault="00EF1A17">
      <w:pPr>
        <w:pStyle w:val="Akapitzlist"/>
        <w:numPr>
          <w:ilvl w:val="0"/>
          <w:numId w:val="35"/>
        </w:numPr>
        <w:autoSpaceDE w:val="0"/>
        <w:autoSpaceDN w:val="0"/>
        <w:adjustRightInd w:val="0"/>
        <w:spacing w:after="0" w:line="276" w:lineRule="auto"/>
        <w:ind w:left="426"/>
        <w:jc w:val="both"/>
        <w:rPr>
          <w:rFonts w:ascii="Times New Roman" w:hAnsi="Times New Roman" w:cs="Times New Roman"/>
          <w:bCs/>
          <w:sz w:val="24"/>
          <w:szCs w:val="24"/>
        </w:rPr>
      </w:pPr>
      <w:r w:rsidRPr="00213798">
        <w:rPr>
          <w:rFonts w:ascii="Times New Roman" w:hAnsi="Times New Roman" w:cs="Times New Roman"/>
          <w:sz w:val="24"/>
          <w:szCs w:val="24"/>
        </w:rPr>
        <w:t xml:space="preserve">W „Lokalnym Programie Rewitalizacji gminy Góra Kalwaria” z 2016 r. wyznaczono obszar zdegradowany, obszar rewitalizacji oraz założenia i przedsięwzięcia rewitalizacyjne. </w:t>
      </w:r>
      <w:r w:rsidRPr="00213798">
        <w:rPr>
          <w:rFonts w:ascii="Times New Roman" w:hAnsi="Times New Roman" w:cs="Times New Roman"/>
          <w:bCs/>
          <w:sz w:val="24"/>
          <w:szCs w:val="24"/>
        </w:rPr>
        <w:t xml:space="preserve">Całość obszaru zdegradowanego obejmuje powierzchnię: 507 ha. </w:t>
      </w:r>
      <w:r w:rsidRPr="00213798">
        <w:rPr>
          <w:rFonts w:ascii="Times New Roman" w:hAnsi="Times New Roman" w:cs="Times New Roman"/>
          <w:sz w:val="24"/>
          <w:szCs w:val="24"/>
        </w:rPr>
        <w:t xml:space="preserve">W części obszaru zdegradowanego </w:t>
      </w:r>
      <w:r w:rsidRPr="00213798">
        <w:rPr>
          <w:rFonts w:ascii="Times New Roman" w:hAnsi="Times New Roman" w:cs="Times New Roman"/>
          <w:bCs/>
          <w:sz w:val="24"/>
          <w:szCs w:val="24"/>
        </w:rPr>
        <w:t>wyznacza się obszar rewitalizacji, którego całkowita powierzchnia wynosi: 80 ha.</w:t>
      </w:r>
    </w:p>
    <w:p w14:paraId="2C3E4AE7" w14:textId="77777777" w:rsidR="000B14C0" w:rsidRPr="00213798" w:rsidRDefault="000B14C0" w:rsidP="000B14C0">
      <w:pPr>
        <w:pStyle w:val="Akapitzlist"/>
        <w:autoSpaceDE w:val="0"/>
        <w:autoSpaceDN w:val="0"/>
        <w:adjustRightInd w:val="0"/>
        <w:spacing w:after="0" w:line="276" w:lineRule="auto"/>
        <w:ind w:left="426"/>
        <w:jc w:val="both"/>
        <w:rPr>
          <w:rFonts w:ascii="Times New Roman" w:hAnsi="Times New Roman" w:cs="Times New Roman"/>
          <w:bCs/>
          <w:sz w:val="24"/>
          <w:szCs w:val="24"/>
        </w:rPr>
      </w:pPr>
    </w:p>
    <w:p w14:paraId="6C673EFA" w14:textId="77777777" w:rsidR="00EF1A17" w:rsidRPr="000B14C0" w:rsidRDefault="00EF1A17" w:rsidP="00EF1A17">
      <w:pPr>
        <w:pStyle w:val="Nagwek2"/>
        <w:spacing w:before="0"/>
        <w:rPr>
          <w:rFonts w:ascii="Times New Roman" w:hAnsi="Times New Roman" w:cs="Times New Roman"/>
          <w:b/>
          <w:bCs/>
          <w:color w:val="auto"/>
          <w:sz w:val="24"/>
          <w:szCs w:val="24"/>
        </w:rPr>
      </w:pPr>
      <w:bookmarkStart w:id="33" w:name="_Toc109295600"/>
      <w:r w:rsidRPr="000B14C0">
        <w:rPr>
          <w:rFonts w:ascii="Times New Roman" w:hAnsi="Times New Roman" w:cs="Times New Roman"/>
          <w:b/>
          <w:bCs/>
          <w:color w:val="auto"/>
          <w:sz w:val="24"/>
          <w:szCs w:val="24"/>
        </w:rPr>
        <w:t>Walory środowiska naturalnego, przyrodnicze i krajobrazowe, różnorodność biologiczna;</w:t>
      </w:r>
      <w:bookmarkEnd w:id="33"/>
    </w:p>
    <w:p w14:paraId="4FE7E951" w14:textId="77777777" w:rsidR="00EF1A17" w:rsidRPr="00213798" w:rsidRDefault="00EF1A17">
      <w:pPr>
        <w:pStyle w:val="Akapitzlist"/>
        <w:numPr>
          <w:ilvl w:val="0"/>
          <w:numId w:val="23"/>
        </w:numPr>
        <w:shd w:val="clear" w:color="auto" w:fill="FFFFFF"/>
        <w:spacing w:after="0" w:line="276" w:lineRule="auto"/>
        <w:ind w:left="426" w:hanging="426"/>
        <w:jc w:val="both"/>
        <w:rPr>
          <w:rFonts w:ascii="Times New Roman" w:eastAsia="Times New Roman" w:hAnsi="Times New Roman" w:cs="Times New Roman"/>
          <w:i/>
          <w:sz w:val="24"/>
          <w:szCs w:val="24"/>
          <w:lang w:eastAsia="pl-PL"/>
        </w:rPr>
      </w:pPr>
      <w:r w:rsidRPr="00213798">
        <w:rPr>
          <w:rFonts w:ascii="Times New Roman" w:eastAsia="Times New Roman" w:hAnsi="Times New Roman" w:cs="Times New Roman"/>
          <w:sz w:val="24"/>
          <w:szCs w:val="24"/>
          <w:lang w:eastAsia="pl-PL"/>
        </w:rPr>
        <w:t>Gmina Góra Kalwaria obejmuje obszar cenny przyrodniczo i to ujmowany w skali krajowej, a nawet europejskiej. Wschodnią granicę gminy tworzy rzeka Wisła z niezwykle cennymi przyrodniczo terenami nadbrzeżnymi, w tym Skarpą Wiślaną. Na terenie gminy znajdują się między innymi: rezerwat, park krajobrazowy, obszary Natura 2000 i jezioro będące pomnikiem przyrody.</w:t>
      </w:r>
    </w:p>
    <w:p w14:paraId="0EEEA2DE" w14:textId="6CCC3A49" w:rsidR="00EF1A17" w:rsidRDefault="00EF1A17">
      <w:pPr>
        <w:pStyle w:val="Akapitzlist"/>
        <w:numPr>
          <w:ilvl w:val="0"/>
          <w:numId w:val="24"/>
        </w:numPr>
        <w:shd w:val="clear" w:color="auto" w:fill="FFFFFF"/>
        <w:spacing w:after="0" w:line="276" w:lineRule="auto"/>
        <w:jc w:val="both"/>
        <w:rPr>
          <w:rFonts w:ascii="Times New Roman" w:eastAsia="Times New Roman" w:hAnsi="Times New Roman" w:cs="Times New Roman"/>
          <w:sz w:val="24"/>
          <w:szCs w:val="24"/>
          <w:lang w:eastAsia="pl-PL"/>
        </w:rPr>
      </w:pPr>
      <w:r w:rsidRPr="00213798">
        <w:rPr>
          <w:rFonts w:ascii="Times New Roman" w:eastAsia="Times New Roman" w:hAnsi="Times New Roman" w:cs="Times New Roman"/>
          <w:sz w:val="24"/>
          <w:szCs w:val="24"/>
          <w:lang w:eastAsia="pl-PL"/>
        </w:rPr>
        <w:t>Wschodnia, skrajna część gminy wchodzi w skład obszaru Natura 2000 </w:t>
      </w:r>
      <w:r w:rsidRPr="00213798">
        <w:rPr>
          <w:rFonts w:ascii="Times New Roman" w:eastAsia="Times New Roman" w:hAnsi="Times New Roman" w:cs="Times New Roman"/>
          <w:bCs/>
          <w:sz w:val="24"/>
          <w:szCs w:val="24"/>
          <w:lang w:eastAsia="pl-PL"/>
        </w:rPr>
        <w:t>Dolina Środkowej Wisły</w:t>
      </w:r>
      <w:r w:rsidRPr="00213798">
        <w:rPr>
          <w:rFonts w:ascii="Times New Roman" w:eastAsia="Times New Roman" w:hAnsi="Times New Roman" w:cs="Times New Roman"/>
          <w:sz w:val="24"/>
          <w:szCs w:val="24"/>
          <w:lang w:eastAsia="pl-PL"/>
        </w:rPr>
        <w:t>. Obejmuje on rzekę i przyległe tereny między Płockiem a Dęblinem. To strefa tzw. specjalnej ochrony ptaków. Tutejszy obszar Natura 2000 charakteryzuje się niezwykłą specyfiką, którą nadają mu liczne łachy (czyli piaszczyste mielizny), wyspy porośnięte roślinnością i starorzecza Wisły. Szczególną częścią Doliny Środkowej Wisły jest położony tu rezerwat przyrody </w:t>
      </w:r>
      <w:r w:rsidRPr="00213798">
        <w:rPr>
          <w:rFonts w:ascii="Times New Roman" w:eastAsia="Times New Roman" w:hAnsi="Times New Roman" w:cs="Times New Roman"/>
          <w:bCs/>
          <w:sz w:val="24"/>
          <w:szCs w:val="24"/>
          <w:lang w:eastAsia="pl-PL"/>
        </w:rPr>
        <w:t>Łachy Brzeskie</w:t>
      </w:r>
      <w:r w:rsidRPr="00213798">
        <w:rPr>
          <w:rFonts w:ascii="Times New Roman" w:eastAsia="Times New Roman" w:hAnsi="Times New Roman" w:cs="Times New Roman"/>
          <w:sz w:val="24"/>
          <w:szCs w:val="24"/>
          <w:lang w:eastAsia="pl-PL"/>
        </w:rPr>
        <w:t>. Drugi obszar Natura 2000 – </w:t>
      </w:r>
      <w:r w:rsidRPr="00213798">
        <w:rPr>
          <w:rFonts w:ascii="Times New Roman" w:eastAsia="Times New Roman" w:hAnsi="Times New Roman" w:cs="Times New Roman"/>
          <w:bCs/>
          <w:sz w:val="24"/>
          <w:szCs w:val="24"/>
          <w:lang w:eastAsia="pl-PL"/>
        </w:rPr>
        <w:t>Łąki Soleckie to</w:t>
      </w:r>
      <w:r w:rsidRPr="00213798">
        <w:rPr>
          <w:rFonts w:ascii="Times New Roman" w:eastAsia="Times New Roman" w:hAnsi="Times New Roman" w:cs="Times New Roman"/>
          <w:sz w:val="24"/>
          <w:szCs w:val="24"/>
          <w:lang w:eastAsia="pl-PL"/>
        </w:rPr>
        <w:t>. dolina rzeki Małej we wsi Solec. Północno-zachodnia, skrajna część gminy to z kolei </w:t>
      </w:r>
      <w:r w:rsidRPr="00213798">
        <w:rPr>
          <w:rFonts w:ascii="Times New Roman" w:eastAsia="Times New Roman" w:hAnsi="Times New Roman" w:cs="Times New Roman"/>
          <w:bCs/>
          <w:sz w:val="24"/>
          <w:szCs w:val="24"/>
          <w:lang w:eastAsia="pl-PL"/>
        </w:rPr>
        <w:t>Chojnowski Park Krajobrazowy</w:t>
      </w:r>
      <w:r w:rsidRPr="00213798">
        <w:rPr>
          <w:rFonts w:ascii="Times New Roman" w:eastAsia="Times New Roman" w:hAnsi="Times New Roman" w:cs="Times New Roman"/>
          <w:sz w:val="24"/>
          <w:szCs w:val="24"/>
          <w:lang w:eastAsia="pl-PL"/>
        </w:rPr>
        <w:t>, utworzony w celu ochrony liściasto-mieszanych Lasów Chojnowskich, doliny rzeki Jeziorki i fragmentu doliny Wisły. W gminie Góra Kalwaria znajduje się przeszło 20 pomników przyrody. To drzewa, głównie dęby szypułkowe, oraz </w:t>
      </w:r>
      <w:r w:rsidRPr="00213798">
        <w:rPr>
          <w:rFonts w:ascii="Times New Roman" w:eastAsia="Times New Roman" w:hAnsi="Times New Roman" w:cs="Times New Roman"/>
          <w:bCs/>
          <w:sz w:val="24"/>
          <w:szCs w:val="24"/>
          <w:lang w:eastAsia="pl-PL"/>
        </w:rPr>
        <w:t>Jezioro Czerskie</w:t>
      </w:r>
      <w:r w:rsidRPr="00213798">
        <w:rPr>
          <w:rFonts w:ascii="Times New Roman" w:eastAsia="Times New Roman" w:hAnsi="Times New Roman" w:cs="Times New Roman"/>
          <w:sz w:val="24"/>
          <w:szCs w:val="24"/>
          <w:lang w:eastAsia="pl-PL"/>
        </w:rPr>
        <w:t xml:space="preserve">. Leży ono w Czersku, u podnóża Zamku Książąt Mazowieckich. Z 9-hektarowego zbiornika wypływa, wpadająca do Wisły, rzeczka Cedron. </w:t>
      </w:r>
    </w:p>
    <w:p w14:paraId="71E4EF76" w14:textId="77777777" w:rsidR="000B14C0" w:rsidRPr="00213798" w:rsidRDefault="000B14C0" w:rsidP="000B14C0">
      <w:pPr>
        <w:pStyle w:val="Akapitzlist"/>
        <w:shd w:val="clear" w:color="auto" w:fill="FFFFFF"/>
        <w:spacing w:after="0" w:line="276" w:lineRule="auto"/>
        <w:ind w:left="360"/>
        <w:jc w:val="both"/>
        <w:rPr>
          <w:rFonts w:ascii="Times New Roman" w:eastAsia="Times New Roman" w:hAnsi="Times New Roman" w:cs="Times New Roman"/>
          <w:sz w:val="24"/>
          <w:szCs w:val="24"/>
          <w:lang w:eastAsia="pl-PL"/>
        </w:rPr>
      </w:pPr>
    </w:p>
    <w:p w14:paraId="73EADB56" w14:textId="77777777" w:rsidR="00EF1A17" w:rsidRPr="000B14C0" w:rsidRDefault="00EF1A17" w:rsidP="00EF1A17">
      <w:pPr>
        <w:pStyle w:val="Nagwek2"/>
        <w:spacing w:before="0"/>
        <w:rPr>
          <w:rFonts w:ascii="Times New Roman" w:hAnsi="Times New Roman" w:cs="Times New Roman"/>
          <w:b/>
          <w:bCs/>
          <w:color w:val="auto"/>
          <w:sz w:val="24"/>
          <w:szCs w:val="24"/>
        </w:rPr>
      </w:pPr>
      <w:bookmarkStart w:id="34" w:name="_Toc109295601"/>
      <w:r w:rsidRPr="000B14C0">
        <w:rPr>
          <w:rFonts w:ascii="Times New Roman" w:hAnsi="Times New Roman" w:cs="Times New Roman"/>
          <w:b/>
          <w:bCs/>
          <w:color w:val="auto"/>
          <w:sz w:val="24"/>
          <w:szCs w:val="24"/>
        </w:rPr>
        <w:t>Formy ochrony przyrody i powierzchnia obszarów chronionych;</w:t>
      </w:r>
      <w:bookmarkEnd w:id="34"/>
    </w:p>
    <w:p w14:paraId="13ED7765" w14:textId="77777777" w:rsidR="00EF1A17" w:rsidRPr="00213798" w:rsidRDefault="00EF1A17">
      <w:pPr>
        <w:pStyle w:val="Akapitzlist"/>
        <w:numPr>
          <w:ilvl w:val="0"/>
          <w:numId w:val="25"/>
        </w:numPr>
        <w:autoSpaceDE w:val="0"/>
        <w:autoSpaceDN w:val="0"/>
        <w:adjustRightInd w:val="0"/>
        <w:spacing w:after="0" w:line="276" w:lineRule="auto"/>
        <w:ind w:left="426"/>
        <w:jc w:val="both"/>
        <w:rPr>
          <w:rFonts w:ascii="Times New Roman" w:hAnsi="Times New Roman" w:cs="Times New Roman"/>
          <w:sz w:val="24"/>
          <w:szCs w:val="24"/>
        </w:rPr>
      </w:pPr>
      <w:r w:rsidRPr="00213798">
        <w:rPr>
          <w:rFonts w:ascii="Times New Roman" w:hAnsi="Times New Roman" w:cs="Times New Roman"/>
          <w:sz w:val="24"/>
          <w:szCs w:val="24"/>
        </w:rPr>
        <w:t>Ogółem na terenie gminy Góra Kalwaria znajduje się około 7 703 ha obszarów prawnie chronionych, z czego 226,7 ha stanowią rezerwaty przyrody. Ponad 60% gminy objętych jest różnymi prawnymi formami ochrony przyrody, co pokazuje, jak wielkie jest bogactwo przyrodnicze tego obszaru. Walory środowiska przyrodniczego stanowią o atrakcyjności i potencjale gminy, która przyciąga turystów oraz zachęca do osiedlania się na tych terenach. .Do obszarów chronionych w gminie należą:</w:t>
      </w:r>
    </w:p>
    <w:p w14:paraId="180A08A1"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Dolina Środkowej Wisły z najbliższym otoczeniem, chroniona programem Natura 2000, na terenie gminy, o obszarze ochrony 1353 ha; </w:t>
      </w:r>
    </w:p>
    <w:p w14:paraId="53F9BF09"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Łąki Soleckie (obszar siedliskowy), Program Natura 2000, w granicach gminy obejmuje ochroną ok. 198 ha; </w:t>
      </w:r>
    </w:p>
    <w:p w14:paraId="2F229F1A"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Rezerwat Łachy Brzeskie - obejmuje ochroną wyspy, łachy piaszczyste, wody płynące Wisły, w gminie Góra Kalwaria teren objęty ochroną to 226,71 ha. Celem ochrony w rezerwacie jest zachowanie ze względów naukowych i dydaktycznych ostoi łęgowych rzadkich i ginących gatunków ptaków występujących na obszarze Wisły; </w:t>
      </w:r>
    </w:p>
    <w:p w14:paraId="5E3E7253"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lastRenderedPageBreak/>
        <w:t xml:space="preserve">Chojnowski Park Krajobrazowy - wraz z otuliną zajmuje 6796 ha i jest parkiem typowo leśnym. Na terenie gminy obszar ochrony zajmuje niewielką północno - zachodnią jej część o powierzchni 612 ha; </w:t>
      </w:r>
    </w:p>
    <w:p w14:paraId="17D0EE6C" w14:textId="77777777" w:rsidR="00EF1A17" w:rsidRPr="00213798" w:rsidRDefault="00EF1A17" w:rsidP="00EF1A17">
      <w:pPr>
        <w:rPr>
          <w:rFonts w:ascii="Times New Roman" w:hAnsi="Times New Roman" w:cs="Times New Roman"/>
        </w:rPr>
      </w:pPr>
    </w:p>
    <w:p w14:paraId="455774CF"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Warszawski Obszar Chronionego Krajobrazu (WoChK) – największy obszar w gminie objęty ochroną o powierzchni ok 8428 ha; </w:t>
      </w:r>
    </w:p>
    <w:p w14:paraId="4728FF4B"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19 pomników przyrody między innymi: Jezioro Czerskie, dęby szypułkowe, klony zwyczajne, topola czarna, buk zwyczajny, topola biała, lipa drobnolistna; </w:t>
      </w:r>
    </w:p>
    <w:p w14:paraId="0AD6AEC6"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przyrodnicze ciągi ekologiczne dolin rzek – Wisły, Czarnej, Zielonej i Cedronu oraz ciąg łączący dolinę Wisły z Chojnowskim Parkiem Krajobrazowym; </w:t>
      </w:r>
    </w:p>
    <w:p w14:paraId="68FBA331"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Kompleksy leśne; </w:t>
      </w:r>
    </w:p>
    <w:p w14:paraId="18B070A9" w14:textId="77777777" w:rsidR="00EF1A17" w:rsidRPr="00213798" w:rsidRDefault="00EF1A17">
      <w:pPr>
        <w:pStyle w:val="Akapitzlist"/>
        <w:numPr>
          <w:ilvl w:val="0"/>
          <w:numId w:val="26"/>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Zbiorniki wodne. </w:t>
      </w:r>
    </w:p>
    <w:p w14:paraId="43DEBF6A" w14:textId="77777777" w:rsidR="00EF1A17" w:rsidRPr="00213798" w:rsidRDefault="00EF1A17" w:rsidP="00EF1A17">
      <w:pPr>
        <w:pStyle w:val="Nagwek2"/>
        <w:spacing w:before="0"/>
        <w:rPr>
          <w:rFonts w:ascii="Times New Roman" w:hAnsi="Times New Roman" w:cs="Times New Roman"/>
          <w:color w:val="auto"/>
          <w:sz w:val="24"/>
          <w:szCs w:val="24"/>
        </w:rPr>
      </w:pPr>
      <w:bookmarkStart w:id="35" w:name="_Toc109295620"/>
      <w:r w:rsidRPr="00213798">
        <w:rPr>
          <w:rFonts w:ascii="Times New Roman" w:hAnsi="Times New Roman" w:cs="Times New Roman"/>
          <w:color w:val="auto"/>
          <w:sz w:val="24"/>
          <w:szCs w:val="24"/>
        </w:rPr>
        <w:t>Obszary o szczególnych problemach lub barierach rozwojowych i obszary o wyjątkowym potencjale rozwojowym.</w:t>
      </w:r>
      <w:bookmarkEnd w:id="35"/>
    </w:p>
    <w:p w14:paraId="53620BF1" w14:textId="77777777" w:rsidR="00EF1A17" w:rsidRPr="00213798" w:rsidRDefault="00EF1A17">
      <w:pPr>
        <w:pStyle w:val="Akapitzlist"/>
        <w:numPr>
          <w:ilvl w:val="0"/>
          <w:numId w:val="7"/>
        </w:numPr>
        <w:autoSpaceDE w:val="0"/>
        <w:autoSpaceDN w:val="0"/>
        <w:adjustRightInd w:val="0"/>
        <w:spacing w:after="0" w:line="276" w:lineRule="auto"/>
        <w:ind w:left="426"/>
        <w:jc w:val="both"/>
        <w:rPr>
          <w:rFonts w:ascii="Times New Roman" w:hAnsi="Times New Roman" w:cs="Times New Roman"/>
          <w:sz w:val="24"/>
          <w:szCs w:val="24"/>
        </w:rPr>
      </w:pPr>
      <w:r w:rsidRPr="00213798">
        <w:rPr>
          <w:rFonts w:ascii="Times New Roman" w:hAnsi="Times New Roman" w:cs="Times New Roman"/>
          <w:sz w:val="24"/>
          <w:szCs w:val="24"/>
        </w:rPr>
        <w:t>W „</w:t>
      </w:r>
      <w:r w:rsidRPr="00213798">
        <w:rPr>
          <w:rFonts w:ascii="Times New Roman" w:hAnsi="Times New Roman" w:cs="Times New Roman"/>
          <w:bCs/>
          <w:sz w:val="24"/>
          <w:szCs w:val="24"/>
        </w:rPr>
        <w:t>Studium Uwarunkowań i Kierunków Zagospodarowania Przestrzennego Miasta i Gminy Góra Kalwaria” stwierdza się największe zagrożenia występują na terenach narażonych na niebezpieczeństwo powodzi i osuwania się mas ziemnych. N</w:t>
      </w:r>
      <w:r w:rsidRPr="00213798">
        <w:rPr>
          <w:rFonts w:ascii="Times New Roman" w:hAnsi="Times New Roman" w:cs="Times New Roman"/>
          <w:sz w:val="24"/>
          <w:szCs w:val="24"/>
        </w:rPr>
        <w:t>a znacznych odcinkach skarpy wprowadzono zakaz zabudowy. Na terenie Gminy Góra Kalwaria występuje również strefa bezpośredniego i potencjalnego zagrożenia powodziowego. Wzdłuż Wisły zbudowano wały przeciwpowodziowe, które jednak chronią tylko przed wezbraniami rzeki oraz przed mniejszymi zalewami.</w:t>
      </w:r>
    </w:p>
    <w:p w14:paraId="5A9705FE" w14:textId="3E5612C5" w:rsidR="000562EC" w:rsidRDefault="000562EC" w:rsidP="000562EC">
      <w:pPr>
        <w:pStyle w:val="Nagwek1"/>
        <w:rPr>
          <w:rFonts w:ascii="Times New Roman" w:hAnsi="Times New Roman" w:cs="Times New Roman"/>
          <w:sz w:val="26"/>
          <w:szCs w:val="26"/>
        </w:rPr>
      </w:pPr>
    </w:p>
    <w:p w14:paraId="071AEC42" w14:textId="2EE6478A" w:rsidR="009A4B77" w:rsidRDefault="009A4B77" w:rsidP="009A4B77"/>
    <w:p w14:paraId="53534F60" w14:textId="008C58BC" w:rsidR="009A4B77" w:rsidRDefault="009A4B77" w:rsidP="009A4B77"/>
    <w:p w14:paraId="17D198BE" w14:textId="5387C583" w:rsidR="009A4B77" w:rsidRDefault="009A4B77" w:rsidP="009A4B77"/>
    <w:p w14:paraId="1AB11B58" w14:textId="1772AFE6" w:rsidR="00D624A1" w:rsidRDefault="00D624A1" w:rsidP="009A4B77"/>
    <w:p w14:paraId="25D2D57C" w14:textId="40A74139" w:rsidR="00D624A1" w:rsidRDefault="00D624A1" w:rsidP="009A4B77"/>
    <w:p w14:paraId="6B7DFDB9" w14:textId="0F0B88DE" w:rsidR="00D624A1" w:rsidRDefault="00D624A1" w:rsidP="009A4B77"/>
    <w:p w14:paraId="488E6811" w14:textId="140751B9" w:rsidR="00D624A1" w:rsidRDefault="00D624A1" w:rsidP="009A4B77"/>
    <w:p w14:paraId="77D6D615" w14:textId="0863EA08" w:rsidR="00D624A1" w:rsidRDefault="00D624A1" w:rsidP="009A4B77"/>
    <w:p w14:paraId="7C15E1A3" w14:textId="58192357" w:rsidR="00D624A1" w:rsidRDefault="00D624A1" w:rsidP="009A4B77"/>
    <w:p w14:paraId="576D9D71" w14:textId="53DCD7F0" w:rsidR="00D624A1" w:rsidRDefault="00D624A1" w:rsidP="009A4B77"/>
    <w:p w14:paraId="5A54EA87" w14:textId="0E0A0BAF" w:rsidR="00D624A1" w:rsidRDefault="00D624A1" w:rsidP="009A4B77"/>
    <w:p w14:paraId="326EFE09" w14:textId="77777777" w:rsidR="00D624A1" w:rsidRPr="009A4B77" w:rsidRDefault="00D624A1" w:rsidP="009A4B77"/>
    <w:p w14:paraId="4918DF5B" w14:textId="0247286F" w:rsidR="00061FDC" w:rsidRPr="000915EA" w:rsidRDefault="00213798" w:rsidP="009A4B77">
      <w:pPr>
        <w:pStyle w:val="Nagwek1"/>
        <w:numPr>
          <w:ilvl w:val="0"/>
          <w:numId w:val="123"/>
        </w:numPr>
        <w:rPr>
          <w:rFonts w:ascii="Times New Roman" w:hAnsi="Times New Roman" w:cs="Times New Roman"/>
          <w:b/>
          <w:bCs/>
          <w:color w:val="0070C0"/>
          <w:sz w:val="28"/>
          <w:szCs w:val="28"/>
        </w:rPr>
      </w:pPr>
      <w:bookmarkStart w:id="36" w:name="_Hlk119635419"/>
      <w:r w:rsidRPr="000915EA">
        <w:rPr>
          <w:rFonts w:ascii="Times New Roman" w:hAnsi="Times New Roman" w:cs="Times New Roman"/>
          <w:b/>
          <w:bCs/>
          <w:color w:val="0070C0"/>
          <w:sz w:val="28"/>
          <w:szCs w:val="28"/>
        </w:rPr>
        <w:lastRenderedPageBreak/>
        <w:t xml:space="preserve">Ustalenia i rekomendacje w zakresie kształtowania i prowadzenia polityki przestrzennej  </w:t>
      </w:r>
    </w:p>
    <w:bookmarkEnd w:id="36"/>
    <w:p w14:paraId="0DAFC91D" w14:textId="77777777" w:rsidR="000C1E4C" w:rsidRPr="00213798" w:rsidRDefault="000C1E4C" w:rsidP="000562EC">
      <w:pPr>
        <w:pStyle w:val="Nagwek1"/>
        <w:rPr>
          <w:rFonts w:ascii="Times New Roman" w:hAnsi="Times New Roman" w:cs="Times New Roman"/>
          <w:sz w:val="26"/>
          <w:szCs w:val="26"/>
        </w:rPr>
      </w:pPr>
    </w:p>
    <w:p w14:paraId="20C4DD96" w14:textId="601CDC2F" w:rsidR="00EF1A17" w:rsidRPr="000B14C0" w:rsidRDefault="00EF1A17" w:rsidP="00EF1A17">
      <w:pPr>
        <w:pStyle w:val="Default"/>
        <w:spacing w:line="276" w:lineRule="auto"/>
        <w:ind w:firstLine="360"/>
        <w:jc w:val="both"/>
        <w:rPr>
          <w:rFonts w:ascii="Times New Roman" w:hAnsi="Times New Roman" w:cs="Times New Roman"/>
        </w:rPr>
      </w:pPr>
      <w:r w:rsidRPr="00213798">
        <w:rPr>
          <w:rFonts w:ascii="Times New Roman" w:hAnsi="Times New Roman" w:cs="Times New Roman"/>
          <w:b/>
          <w:bCs/>
        </w:rPr>
        <w:t xml:space="preserve">W „Studium …” </w:t>
      </w:r>
      <w:r w:rsidRPr="000B14C0">
        <w:rPr>
          <w:rFonts w:ascii="Times New Roman" w:hAnsi="Times New Roman" w:cs="Times New Roman"/>
        </w:rPr>
        <w:t>sformułowano również rekomendacje wskazujące podstawowe kierunki zmian w strukturze przestrzennej miasta i gminy z zachowaniem wszelkich rygorów wynikających z ograniczeń dotyczących sfery przyrodniczo-środowiskowej oraz technicznej. Stwierdza się tam, iż</w:t>
      </w:r>
      <w:r w:rsidR="000B14C0">
        <w:rPr>
          <w:rFonts w:ascii="Times New Roman" w:hAnsi="Times New Roman" w:cs="Times New Roman"/>
        </w:rPr>
        <w:t>:</w:t>
      </w:r>
    </w:p>
    <w:p w14:paraId="3B757518"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„Zachowuje się i wzmacnia wszystkie zbadane i potwierdzone powiązania z otoczeniem: ekologiczne, komunikacyjne, funkcjonalne i infrastrukturalne. </w:t>
      </w:r>
    </w:p>
    <w:p w14:paraId="2419FD00"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 celu prawidłowego kształtowania sieci osadniczej dla nowych zespołów zabudowy określa się granice pomiędzy terenami otwartymi (wyłączonymi spod zabudowy lub z istotnymi ograniczeniami dla zabudowy) i zagospodarowania a zurbanizowanymi. </w:t>
      </w:r>
    </w:p>
    <w:p w14:paraId="140BB654"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Planowana struktura przestrzenna gminy zachowuje wyważone relacje między powierzchniami przeznaczanymi pod zabudowę mieszkaniową (60% nowych terenów urbanizowanych) oraz terenami miejsc pracy o funkcji usług, produkcji i składów (25% nowych terenów urbanizowanych), a także rekreacji (15% ). </w:t>
      </w:r>
    </w:p>
    <w:p w14:paraId="205E7961"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Przy planowaniu rozwoju przestrzennego za priorytet uznaje się ochronę terenów o wyjątkowych wartościach przyrodniczych, krajobrazowych lub terenów istotnych dla zachowania bioróżnorodności, w tym ochronę przed niekontrolowaną zabudową oraz użytkowaniem, mogącym prowadzić do ich degradacji. </w:t>
      </w:r>
    </w:p>
    <w:p w14:paraId="63632EF1"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Uznaje się za konieczne ograniczenie zjawiska rozpraszania się zabudowy - zarówno mieszkaniowej i rekreacyjnej na atrakcyjnych krajobrazowo terenach gminy, jak i usługowo - produkcyjnej przy ważnych trasach komunikacyjnych, poprzez wyznaczenie miejsc i warunków nowych inwestycji. </w:t>
      </w:r>
    </w:p>
    <w:p w14:paraId="6F0CAFEF"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Tworzy się hierarchiczną sieć ośrodków handlowo – usługowych, w których najsilniejszą pozycję będzie zajmowało centrum miasta Góra Kalwaria, jako ośrodek o ponadlokalnym znaczeniu i zasięgu oddziaływania. </w:t>
      </w:r>
    </w:p>
    <w:p w14:paraId="54C6629A" w14:textId="77777777" w:rsidR="00EF1A17" w:rsidRPr="00213798" w:rsidRDefault="00EF1A17">
      <w:pPr>
        <w:pStyle w:val="Akapitzlist"/>
        <w:numPr>
          <w:ilvl w:val="0"/>
          <w:numId w:val="43"/>
        </w:numPr>
        <w:autoSpaceDE w:val="0"/>
        <w:autoSpaceDN w:val="0"/>
        <w:adjustRightInd w:val="0"/>
        <w:spacing w:after="0" w:line="276" w:lineRule="auto"/>
        <w:ind w:left="426"/>
        <w:jc w:val="both"/>
        <w:rPr>
          <w:rFonts w:ascii="Times New Roman" w:hAnsi="Times New Roman" w:cs="Times New Roman"/>
          <w:sz w:val="24"/>
          <w:szCs w:val="24"/>
        </w:rPr>
      </w:pPr>
      <w:r w:rsidRPr="00213798">
        <w:rPr>
          <w:rFonts w:ascii="Times New Roman" w:hAnsi="Times New Roman" w:cs="Times New Roman"/>
          <w:color w:val="000000"/>
          <w:sz w:val="24"/>
          <w:szCs w:val="24"/>
        </w:rPr>
        <w:t xml:space="preserve">Przewidziano, że zaludnienie miasta i gminy wynikające z przyrostu naturalnego będzie równe lub niższe od stanu istniejącego, jednak przy prognozowaniu rozwoju </w:t>
      </w:r>
      <w:r w:rsidRPr="00213798">
        <w:rPr>
          <w:rFonts w:ascii="Times New Roman" w:hAnsi="Times New Roman" w:cs="Times New Roman"/>
          <w:sz w:val="24"/>
          <w:szCs w:val="24"/>
        </w:rPr>
        <w:t>uwzględniono trendy deglomeracyjne aglomeracji Warszawy; Optymistyczne prognozy, zakładające: spadek liczby zgonów, wzrost liczby urodzeń i wzrost salda migracji, przewidują, że liczba mieszkańców miasta i gminy wyniesie w roku 2020 maksymalnie 28 tysięcy osób</w:t>
      </w:r>
      <w:r w:rsidRPr="00213798">
        <w:rPr>
          <w:rStyle w:val="Odwoanieprzypisudolnego"/>
          <w:rFonts w:ascii="Times New Roman" w:hAnsi="Times New Roman" w:cs="Times New Roman"/>
          <w:sz w:val="24"/>
          <w:szCs w:val="24"/>
        </w:rPr>
        <w:footnoteReference w:id="2"/>
      </w:r>
      <w:r w:rsidRPr="00213798">
        <w:rPr>
          <w:rFonts w:ascii="Times New Roman" w:hAnsi="Times New Roman" w:cs="Times New Roman"/>
          <w:sz w:val="24"/>
          <w:szCs w:val="24"/>
        </w:rPr>
        <w:t xml:space="preserve">. </w:t>
      </w:r>
    </w:p>
    <w:p w14:paraId="59C194AC"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 xml:space="preserve">Wyznacza się nowe tereny dla perspektywicznego rozwoju zabudowy, kierując się zarówno możliwościami wyposażenia terenów w media, stopniem zainteresowania inwestowaniem, jak i priorytetem wartości przyrodniczych oraz krajobrazowych. Większość obszarów największego zainteresowania inwestorów to dobrze </w:t>
      </w:r>
      <w:r w:rsidRPr="00213798">
        <w:rPr>
          <w:rFonts w:ascii="Times New Roman" w:hAnsi="Times New Roman" w:cs="Times New Roman"/>
        </w:rPr>
        <w:lastRenderedPageBreak/>
        <w:t xml:space="preserve">skomunikowane i częściowo uzbrojone tereny północne i północno - zachodnie gminy. Równocześnie właśnie w tym rejonie występuje najwięcej ograniczeń przyrodniczych. </w:t>
      </w:r>
    </w:p>
    <w:p w14:paraId="72716572"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 xml:space="preserve">Wyznacza się tereny dla których wskazane jest uzupełnianie, porządkowanie i podwyższanie standardów istniejącej zabudowy. </w:t>
      </w:r>
    </w:p>
    <w:p w14:paraId="034DB3E3"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 xml:space="preserve">Wyznacza się tereny przeznaczone dla realizacji nowych inwestycji w mieście i gminie, konkurencyjnych w stosunku do gmin sąsiednich, z zakresu mieszkalnictwa, drobnej wytwórczości, biur, składów i zakładów produkcyjnych. </w:t>
      </w:r>
    </w:p>
    <w:p w14:paraId="56FACD7A"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 xml:space="preserve">Wskazuje się tereny koncentracji obiektów usługowych w celu zwiększenia ilości usług komercyjnych i socjalnych w mieście i gminie. </w:t>
      </w:r>
    </w:p>
    <w:p w14:paraId="6EA99C22"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 xml:space="preserve">W celu ograniczenia zjawiska likwidowania we wsiach sklepów z podstawowymi artykułami spożywczymi i przemysłowymi, przy ogólnym słabym wyposażeniu w usługi, wskazuje się konieczność wprowadzania w m.p.z.p. elastycznych zapisów dotyczących możliwości realizacji usług podstawowych na terenach zabudowy wiejskiej. </w:t>
      </w:r>
    </w:p>
    <w:p w14:paraId="7BD7BAE3" w14:textId="77777777" w:rsidR="00EF1A17" w:rsidRPr="00213798" w:rsidRDefault="00EF1A1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Wyznacza się obszary przewidziane do zabudowy i zagospodarowania, wyodrębniając je według ustaleń dotyczących funkcji i zasad zagospodarowania.</w:t>
      </w:r>
    </w:p>
    <w:p w14:paraId="235D9E0D" w14:textId="49C12E66" w:rsidR="00EF1A17" w:rsidRDefault="00EF1A17" w:rsidP="009A4B77">
      <w:pPr>
        <w:pStyle w:val="Default"/>
        <w:numPr>
          <w:ilvl w:val="0"/>
          <w:numId w:val="43"/>
        </w:numPr>
        <w:spacing w:line="276" w:lineRule="auto"/>
        <w:ind w:left="426"/>
        <w:jc w:val="both"/>
        <w:rPr>
          <w:rFonts w:ascii="Times New Roman" w:hAnsi="Times New Roman" w:cs="Times New Roman"/>
        </w:rPr>
      </w:pPr>
      <w:r w:rsidRPr="00213798">
        <w:rPr>
          <w:rFonts w:ascii="Times New Roman" w:hAnsi="Times New Roman" w:cs="Times New Roman"/>
        </w:rPr>
        <w:t>Przewiduje się utrwalenie cech poszczególnych (głównych dla gminy) stref funkcjonalnych z zachowaniem charakteru ich zagospodarowania, tj.: strefę terenów upraw rolnych i sadowniczych - na południu i wschodzie, strefę terenów rekreacyjnych, mieszkaniowych oraz lasów i terenów otwartych - na zachodzie i południowym zachodzie, strefę usługowo - produkcyjną i serwisową - na północy oraz wzdłuż dróg krajowych i wojewódzkich. Z tego podziału wyodrębnia się strefa centralna miasta Góra Kalwaria i miejscowości Czersk oraz strefa doliny Wisły w międzywalu.”</w:t>
      </w:r>
    </w:p>
    <w:p w14:paraId="131DEBC7" w14:textId="77777777" w:rsidR="00466B30" w:rsidRPr="009A4B77" w:rsidRDefault="00466B30" w:rsidP="00466B30">
      <w:pPr>
        <w:pStyle w:val="Default"/>
        <w:spacing w:line="276" w:lineRule="auto"/>
        <w:ind w:left="426"/>
        <w:jc w:val="both"/>
        <w:rPr>
          <w:rFonts w:ascii="Times New Roman" w:hAnsi="Times New Roman" w:cs="Times New Roman"/>
        </w:rPr>
      </w:pPr>
    </w:p>
    <w:p w14:paraId="01723378" w14:textId="7B9F8BF0" w:rsidR="00EF1A17" w:rsidRPr="00213798" w:rsidRDefault="00EF1A17" w:rsidP="00EF1A17">
      <w:pPr>
        <w:autoSpaceDE w:val="0"/>
        <w:autoSpaceDN w:val="0"/>
        <w:adjustRightInd w:val="0"/>
        <w:spacing w:after="0"/>
        <w:ind w:firstLine="360"/>
        <w:jc w:val="both"/>
        <w:rPr>
          <w:rFonts w:ascii="Times New Roman" w:hAnsi="Times New Roman" w:cs="Times New Roman"/>
          <w:color w:val="000000"/>
          <w:sz w:val="24"/>
          <w:szCs w:val="24"/>
        </w:rPr>
      </w:pPr>
      <w:r w:rsidRPr="00213798">
        <w:rPr>
          <w:rFonts w:ascii="Times New Roman" w:hAnsi="Times New Roman" w:cs="Times New Roman"/>
          <w:bCs/>
          <w:color w:val="000000"/>
          <w:sz w:val="24"/>
          <w:szCs w:val="24"/>
        </w:rPr>
        <w:t xml:space="preserve">W </w:t>
      </w:r>
      <w:r w:rsidRPr="00213798">
        <w:rPr>
          <w:rFonts w:ascii="Times New Roman" w:hAnsi="Times New Roman" w:cs="Times New Roman"/>
          <w:bCs/>
          <w:sz w:val="24"/>
          <w:szCs w:val="24"/>
        </w:rPr>
        <w:t xml:space="preserve">Strategii rozwoju województwa mazowieckiego 2030+ zawarto </w:t>
      </w:r>
      <w:r w:rsidRPr="00213798">
        <w:rPr>
          <w:rFonts w:ascii="Times New Roman" w:hAnsi="Times New Roman" w:cs="Times New Roman"/>
          <w:bCs/>
          <w:color w:val="000000"/>
          <w:sz w:val="24"/>
          <w:szCs w:val="24"/>
        </w:rPr>
        <w:t>rekomendacje dotyczące</w:t>
      </w:r>
      <w:r w:rsidRPr="00213798">
        <w:rPr>
          <w:rFonts w:ascii="Times New Roman" w:hAnsi="Times New Roman" w:cs="Times New Roman"/>
          <w:color w:val="000000"/>
          <w:sz w:val="24"/>
          <w:szCs w:val="24"/>
        </w:rPr>
        <w:t xml:space="preserve"> zasad i kierunków działań w zakresie kształtowania i prowadzenia polityki przestrzennej w województwie mazowieckim</w:t>
      </w:r>
      <w:r w:rsidR="00466B30">
        <w:rPr>
          <w:rFonts w:ascii="Times New Roman" w:hAnsi="Times New Roman" w:cs="Times New Roman"/>
          <w:color w:val="000000"/>
          <w:sz w:val="24"/>
          <w:szCs w:val="24"/>
        </w:rPr>
        <w:t>, które także będą wpływać na kształtowanie polityki przestrzennej Miasta i Gminy Góra Kalwaria</w:t>
      </w:r>
      <w:r w:rsidRPr="00213798">
        <w:rPr>
          <w:rFonts w:ascii="Times New Roman" w:hAnsi="Times New Roman" w:cs="Times New Roman"/>
          <w:color w:val="000000"/>
          <w:sz w:val="24"/>
          <w:szCs w:val="24"/>
        </w:rPr>
        <w:t>. Stwierdza się tam , iż:</w:t>
      </w:r>
    </w:p>
    <w:p w14:paraId="152D36BF" w14:textId="77777777" w:rsidR="00EF1A17" w:rsidRPr="00213798" w:rsidRDefault="00EF1A17">
      <w:pPr>
        <w:pStyle w:val="Akapitzlist"/>
        <w:numPr>
          <w:ilvl w:val="0"/>
          <w:numId w:val="77"/>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„rozwój przestrzenny powinien następować w pasmach utworzonych wzdłuż korytarzy komunikacyjnych oraz w rdzeniach układu, który stanowi Warszawa oraz węzły transpor</w:t>
      </w:r>
      <w:r w:rsidRPr="00213798">
        <w:rPr>
          <w:rFonts w:ascii="Times New Roman" w:hAnsi="Times New Roman" w:cs="Times New Roman"/>
          <w:color w:val="000000"/>
          <w:sz w:val="24"/>
          <w:szCs w:val="24"/>
        </w:rPr>
        <w:softHyphen/>
        <w:t xml:space="preserve">towe ośrodków subregionalnych; </w:t>
      </w:r>
    </w:p>
    <w:p w14:paraId="029A010D" w14:textId="77777777" w:rsidR="00EF1A17" w:rsidRPr="00213798" w:rsidRDefault="00EF1A17">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pasma rozwoju powinny obejmować zarówno tereny zurbanizowane, historycznie wyzna</w:t>
      </w:r>
      <w:r w:rsidRPr="00213798">
        <w:rPr>
          <w:rFonts w:ascii="Times New Roman" w:hAnsi="Times New Roman" w:cs="Times New Roman"/>
          <w:color w:val="000000"/>
          <w:sz w:val="24"/>
          <w:szCs w:val="24"/>
        </w:rPr>
        <w:softHyphen/>
        <w:t xml:space="preserve">czone wzdłuż linii kolejowych, jak również nowo powstałe wzdłuż ciągów drogowych, w których należy przewidywać wprowadzenie transportu szynowego; </w:t>
      </w:r>
    </w:p>
    <w:p w14:paraId="69270F86" w14:textId="77777777" w:rsidR="00EF1A17" w:rsidRPr="00213798" w:rsidRDefault="00EF1A17">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pomiędzy pasmami rozwoju należy zachować przestrzenie ekstensywnego użytkowania jako obszary zaplecza przyrodniczego, które powinny wchodzić w formie klinów do cen</w:t>
      </w:r>
      <w:r w:rsidRPr="00213798">
        <w:rPr>
          <w:rFonts w:ascii="Times New Roman" w:hAnsi="Times New Roman" w:cs="Times New Roman"/>
          <w:color w:val="000000"/>
          <w:sz w:val="24"/>
          <w:szCs w:val="24"/>
        </w:rPr>
        <w:softHyphen/>
        <w:t xml:space="preserve">trów miast; </w:t>
      </w:r>
    </w:p>
    <w:p w14:paraId="1A8B67EE" w14:textId="77777777" w:rsidR="00EF1A17" w:rsidRPr="00213798" w:rsidRDefault="00EF1A17">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wskazane jest powiązanie sekwencji pasm rozwoju układem komunikacyjnym o charakte</w:t>
      </w:r>
      <w:r w:rsidRPr="00213798">
        <w:rPr>
          <w:rFonts w:ascii="Times New Roman" w:hAnsi="Times New Roman" w:cs="Times New Roman"/>
          <w:color w:val="000000"/>
          <w:sz w:val="24"/>
          <w:szCs w:val="24"/>
        </w:rPr>
        <w:softHyphen/>
        <w:t xml:space="preserve">rze obwodowym, który łączyłby poszczególne pasma, bez konieczności przemieszczania się do centrum obszaru; </w:t>
      </w:r>
    </w:p>
    <w:p w14:paraId="711ED8E5" w14:textId="77777777" w:rsidR="00EF1A17" w:rsidRPr="00213798" w:rsidRDefault="00EF1A17">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całość obszaru zurbanizowanego powinna być zamknięta strefą zielonego pierścienia, bez</w:t>
      </w:r>
      <w:r w:rsidRPr="00213798">
        <w:rPr>
          <w:rFonts w:ascii="Times New Roman" w:hAnsi="Times New Roman" w:cs="Times New Roman"/>
          <w:color w:val="000000"/>
          <w:sz w:val="24"/>
          <w:szCs w:val="24"/>
        </w:rPr>
        <w:softHyphen/>
        <w:t xml:space="preserve">pośrednio powiązanego z przestrzeniami ekstensywnego użytkowania w miastach (parki, zieleńce, skwery, doliny cieków wodnych); </w:t>
      </w:r>
    </w:p>
    <w:p w14:paraId="4773B550" w14:textId="77777777" w:rsidR="00EF1A17" w:rsidRPr="00213798" w:rsidRDefault="00EF1A17">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lastRenderedPageBreak/>
        <w:t>dla liniowych obiektów infrastruktury transportowej i energetycznej należy zachować kory</w:t>
      </w:r>
      <w:r w:rsidRPr="00213798">
        <w:rPr>
          <w:rFonts w:ascii="Times New Roman" w:hAnsi="Times New Roman" w:cs="Times New Roman"/>
          <w:color w:val="000000"/>
          <w:sz w:val="24"/>
          <w:szCs w:val="24"/>
        </w:rPr>
        <w:softHyphen/>
        <w:t xml:space="preserve">tarze przestrzenne, w miarę możliwości wspólne (tzw. korytarze infrastrukturalne); </w:t>
      </w:r>
    </w:p>
    <w:p w14:paraId="78C5CAD6" w14:textId="77777777" w:rsidR="00466B30" w:rsidRDefault="00EF1A17" w:rsidP="00466B30">
      <w:pPr>
        <w:pStyle w:val="Akapitzlist"/>
        <w:numPr>
          <w:ilvl w:val="0"/>
          <w:numId w:val="78"/>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lokalizacja obiektów produkcji energii nie powinna kolidować z innymi funkcjami terenów, w tym szczególnie usytuowanie elektrowni wiatrowych nie może powodować uciążliwości dla zabudowy przeznaczonej na stały pobyt ludzi, obiektów wrażliwych na zakłócenia pro</w:t>
      </w:r>
      <w:r w:rsidRPr="00213798">
        <w:rPr>
          <w:rFonts w:ascii="Times New Roman" w:hAnsi="Times New Roman" w:cs="Times New Roman"/>
          <w:color w:val="000000"/>
          <w:sz w:val="24"/>
          <w:szCs w:val="24"/>
        </w:rPr>
        <w:softHyphen/>
        <w:t xml:space="preserve">mieniowania elektromagnetycznego, a także obszarów o cennych walorach przyrodniczych i krajobrazowych.” </w:t>
      </w:r>
    </w:p>
    <w:p w14:paraId="6568861F" w14:textId="406188B1" w:rsidR="00EF1A17" w:rsidRPr="00466B30" w:rsidRDefault="00EF1A17" w:rsidP="00466B30">
      <w:pPr>
        <w:autoSpaceDE w:val="0"/>
        <w:autoSpaceDN w:val="0"/>
        <w:adjustRightInd w:val="0"/>
        <w:spacing w:after="0" w:line="276" w:lineRule="auto"/>
        <w:jc w:val="both"/>
        <w:rPr>
          <w:rFonts w:ascii="Times New Roman" w:hAnsi="Times New Roman" w:cs="Times New Roman"/>
          <w:color w:val="000000"/>
          <w:sz w:val="24"/>
          <w:szCs w:val="24"/>
        </w:rPr>
      </w:pPr>
      <w:r w:rsidRPr="00466B30">
        <w:rPr>
          <w:rFonts w:ascii="Times New Roman" w:hAnsi="Times New Roman" w:cs="Times New Roman"/>
          <w:color w:val="000000"/>
          <w:sz w:val="24"/>
          <w:szCs w:val="24"/>
        </w:rPr>
        <w:t xml:space="preserve">W szczególności dla obszarów o cennych walorach przyrodniczo-kulturowych rekomenduje się w </w:t>
      </w:r>
      <w:r w:rsidRPr="00466B30">
        <w:rPr>
          <w:rFonts w:ascii="Times New Roman" w:hAnsi="Times New Roman" w:cs="Times New Roman"/>
          <w:bCs/>
          <w:sz w:val="24"/>
          <w:szCs w:val="24"/>
        </w:rPr>
        <w:t xml:space="preserve">Strategii rozwoju województwa mazowieckiego 2030+ </w:t>
      </w:r>
      <w:r w:rsidRPr="00466B30">
        <w:rPr>
          <w:rFonts w:ascii="Times New Roman" w:hAnsi="Times New Roman" w:cs="Times New Roman"/>
          <w:color w:val="000000"/>
          <w:sz w:val="24"/>
          <w:szCs w:val="24"/>
        </w:rPr>
        <w:t xml:space="preserve">następujące działania: </w:t>
      </w:r>
    </w:p>
    <w:p w14:paraId="75EE3677" w14:textId="77777777" w:rsidR="00EF1A17" w:rsidRPr="00213798" w:rsidRDefault="00EF1A17">
      <w:pPr>
        <w:pStyle w:val="Akapitzlist"/>
        <w:numPr>
          <w:ilvl w:val="0"/>
          <w:numId w:val="79"/>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„objęcie ochroną terenów zachowujących tożsamość kulturową i walory tradycyjnego krajo</w:t>
      </w:r>
      <w:r w:rsidRPr="00213798">
        <w:rPr>
          <w:rFonts w:ascii="Times New Roman" w:hAnsi="Times New Roman" w:cs="Times New Roman"/>
          <w:color w:val="000000"/>
          <w:sz w:val="24"/>
          <w:szCs w:val="24"/>
        </w:rPr>
        <w:softHyphen/>
        <w:t xml:space="preserve">brazu o specyficznych i unikatowych walorach krajobrazowych; </w:t>
      </w:r>
    </w:p>
    <w:p w14:paraId="4EAC5FF3" w14:textId="77777777" w:rsidR="00EF1A17" w:rsidRPr="00213798" w:rsidRDefault="00EF1A17">
      <w:pPr>
        <w:pStyle w:val="Akapitzlist"/>
        <w:numPr>
          <w:ilvl w:val="0"/>
          <w:numId w:val="79"/>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porządkowanie i odtwarzanie wartości kulturowych oraz elementów ekspozycji krajobrazowej; </w:t>
      </w:r>
    </w:p>
    <w:p w14:paraId="45E9DCB2" w14:textId="77777777" w:rsidR="00EF1A17" w:rsidRPr="00213798" w:rsidRDefault="00EF1A17">
      <w:pPr>
        <w:pStyle w:val="Akapitzlist"/>
        <w:numPr>
          <w:ilvl w:val="0"/>
          <w:numId w:val="79"/>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utrzymanie cennych krajobrazowo przestrzeni otwartych, ograniczanie inwestowania na terenach rolnych i leśnych, zagospodarowanie rezerw terenowych w istniejących struk</w:t>
      </w:r>
      <w:r w:rsidRPr="00213798">
        <w:rPr>
          <w:rFonts w:ascii="Times New Roman" w:hAnsi="Times New Roman" w:cs="Times New Roman"/>
          <w:color w:val="000000"/>
          <w:sz w:val="24"/>
          <w:szCs w:val="24"/>
        </w:rPr>
        <w:softHyphen/>
        <w:t>turach przestrzennych;</w:t>
      </w:r>
    </w:p>
    <w:p w14:paraId="37C47653" w14:textId="77777777" w:rsidR="00EF1A17" w:rsidRPr="00213798" w:rsidRDefault="00EF1A17">
      <w:pPr>
        <w:pStyle w:val="Akapitzlist"/>
        <w:numPr>
          <w:ilvl w:val="0"/>
          <w:numId w:val="79"/>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kształtowanie nowej zabudowy w sposób nawiązujący do tradycji miejsca, eksponowanie i odtwarzanie dominant architektonicznych i krajobrazowych, ograniczenie powstawania obcych krajobrazowo form zagospodarowania, eliminacja obiektów dysharmonijnych.” </w:t>
      </w:r>
    </w:p>
    <w:p w14:paraId="06FC29F1" w14:textId="77777777" w:rsidR="00EF1A17" w:rsidRPr="00213798" w:rsidRDefault="00EF1A17" w:rsidP="00EF1A17">
      <w:pPr>
        <w:autoSpaceDE w:val="0"/>
        <w:autoSpaceDN w:val="0"/>
        <w:adjustRightInd w:val="0"/>
        <w:spacing w:after="0"/>
        <w:ind w:firstLine="440"/>
        <w:jc w:val="both"/>
        <w:rPr>
          <w:rFonts w:ascii="Times New Roman" w:hAnsi="Times New Roman" w:cs="Times New Roman"/>
          <w:color w:val="000000"/>
          <w:sz w:val="24"/>
          <w:szCs w:val="24"/>
        </w:rPr>
      </w:pPr>
    </w:p>
    <w:p w14:paraId="12E1C996" w14:textId="77777777" w:rsidR="00EF1A17" w:rsidRPr="00213798" w:rsidRDefault="00EF1A17" w:rsidP="00EF1A17">
      <w:pPr>
        <w:autoSpaceDE w:val="0"/>
        <w:autoSpaceDN w:val="0"/>
        <w:adjustRightInd w:val="0"/>
        <w:spacing w:after="0"/>
        <w:ind w:firstLine="44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 </w:t>
      </w:r>
      <w:r w:rsidRPr="00213798">
        <w:rPr>
          <w:rFonts w:ascii="Times New Roman" w:hAnsi="Times New Roman" w:cs="Times New Roman"/>
          <w:bCs/>
          <w:sz w:val="24"/>
          <w:szCs w:val="24"/>
        </w:rPr>
        <w:t>Strategii rozwoju województwa mazowieckiego 2030+ wskazuje się, iż p</w:t>
      </w:r>
      <w:r w:rsidRPr="00213798">
        <w:rPr>
          <w:rFonts w:ascii="Times New Roman" w:hAnsi="Times New Roman" w:cs="Times New Roman"/>
          <w:color w:val="000000"/>
          <w:sz w:val="24"/>
          <w:szCs w:val="24"/>
        </w:rPr>
        <w:t>olityka kształtowania ładu przestrzennego powinna być realizowana również poprzez formowanie w przestrzeni województwa określonych stref użytkowania:</w:t>
      </w:r>
    </w:p>
    <w:p w14:paraId="7AFF3A75" w14:textId="77777777" w:rsidR="00EF1A17" w:rsidRPr="00213798" w:rsidRDefault="00EF1A17">
      <w:pPr>
        <w:pStyle w:val="Akapitzlist"/>
        <w:numPr>
          <w:ilvl w:val="0"/>
          <w:numId w:val="80"/>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„strefa uzupełnienia zabudowy, w której zagospodarowanie powinno być podporządko</w:t>
      </w:r>
      <w:r w:rsidRPr="00213798">
        <w:rPr>
          <w:rFonts w:ascii="Times New Roman" w:hAnsi="Times New Roman" w:cs="Times New Roman"/>
          <w:color w:val="000000"/>
          <w:sz w:val="24"/>
          <w:szCs w:val="24"/>
        </w:rPr>
        <w:softHyphen/>
        <w:t>wane funkcjom związanym z zabudową mieszkaniową, usługową, przemysłową lub tech</w:t>
      </w:r>
      <w:r w:rsidRPr="00213798">
        <w:rPr>
          <w:rFonts w:ascii="Times New Roman" w:hAnsi="Times New Roman" w:cs="Times New Roman"/>
          <w:color w:val="000000"/>
          <w:sz w:val="24"/>
          <w:szCs w:val="24"/>
        </w:rPr>
        <w:softHyphen/>
        <w:t xml:space="preserve">niczną o wysokim stopniu intensywności i która powinna być zainwestowana w pierwszej kolejności; </w:t>
      </w:r>
    </w:p>
    <w:p w14:paraId="2C7298D6" w14:textId="77777777" w:rsidR="00EF1A17" w:rsidRPr="00213798" w:rsidRDefault="00EF1A17">
      <w:pPr>
        <w:pStyle w:val="Akapitzlist"/>
        <w:numPr>
          <w:ilvl w:val="0"/>
          <w:numId w:val="80"/>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strefa rozwoju zabudowy, w której zagospodarowanie powinno być podporządkowane funkcjom związanym z zabudową mieszkaniową, usługową, przemysłową bądź techniczną o średnim stopniu intensywności i która powinna być zagospodarowana w drugiej kolejno</w:t>
      </w:r>
      <w:r w:rsidRPr="00213798">
        <w:rPr>
          <w:rFonts w:ascii="Times New Roman" w:hAnsi="Times New Roman" w:cs="Times New Roman"/>
          <w:color w:val="000000"/>
          <w:sz w:val="24"/>
          <w:szCs w:val="24"/>
        </w:rPr>
        <w:softHyphen/>
        <w:t xml:space="preserve">ści, po wyczerpaniu rezerw w strefie uzupełnienia zabudowy; </w:t>
      </w:r>
    </w:p>
    <w:p w14:paraId="435E06CF" w14:textId="77777777" w:rsidR="00EF1A17" w:rsidRPr="00213798" w:rsidRDefault="00EF1A17">
      <w:pPr>
        <w:pStyle w:val="Akapitzlist"/>
        <w:numPr>
          <w:ilvl w:val="0"/>
          <w:numId w:val="80"/>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strefa zachowania zabudowy, w której zakłada się adaptację istniejącego zagospodarowania, a nowe zagospodarowanie podporządkowuje celom ochrony środowiska przyrodniczego oraz ochrony przeciwpowodziowej. W strefie tej nie należy przeznaczać pod zabudowę lub inną działalność inwestycyjną terenów rolnych i leśnych; </w:t>
      </w:r>
    </w:p>
    <w:p w14:paraId="468FA7D9" w14:textId="3999E909" w:rsidR="00EF1A17" w:rsidRPr="009A4B77" w:rsidRDefault="00EF1A17" w:rsidP="00EF1A17">
      <w:pPr>
        <w:pStyle w:val="Akapitzlist"/>
        <w:numPr>
          <w:ilvl w:val="0"/>
          <w:numId w:val="80"/>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strefa wyłączenia spod zabudowy, w której ogranicza się do minimum rozbudowę istnie</w:t>
      </w:r>
      <w:r w:rsidRPr="00213798">
        <w:rPr>
          <w:rFonts w:ascii="Times New Roman" w:hAnsi="Times New Roman" w:cs="Times New Roman"/>
          <w:color w:val="000000"/>
          <w:sz w:val="24"/>
          <w:szCs w:val="24"/>
        </w:rPr>
        <w:softHyphen/>
        <w:t xml:space="preserve">jącego zagospodarowania, a preferuje się formy użytkowania terenu podporządkowane funkcjom związanym z ochroną środowiska oraz ochroną przed powodzią (m.in. poldery). W strefie tej zaleca się wprowadzenie zakazu wznoszenia nowych budynków, z wyjątkiem odbudowy po zniszczeniach wskutek zdarzeń losowych. </w:t>
      </w:r>
    </w:p>
    <w:p w14:paraId="65587E5C" w14:textId="7BBCCBC1" w:rsidR="009A4B77" w:rsidRDefault="009A4B77" w:rsidP="00EF1A17">
      <w:pPr>
        <w:autoSpaceDE w:val="0"/>
        <w:autoSpaceDN w:val="0"/>
        <w:adjustRightInd w:val="0"/>
        <w:spacing w:after="0"/>
        <w:ind w:firstLine="426"/>
        <w:jc w:val="both"/>
        <w:rPr>
          <w:rFonts w:ascii="Times New Roman" w:hAnsi="Times New Roman" w:cs="Times New Roman"/>
          <w:color w:val="000000"/>
          <w:sz w:val="24"/>
          <w:szCs w:val="24"/>
        </w:rPr>
      </w:pPr>
    </w:p>
    <w:p w14:paraId="14E19417" w14:textId="2CFAFC44" w:rsidR="009A4B77" w:rsidRDefault="009A4B77" w:rsidP="00EF1A17">
      <w:pPr>
        <w:autoSpaceDE w:val="0"/>
        <w:autoSpaceDN w:val="0"/>
        <w:adjustRightInd w:val="0"/>
        <w:spacing w:after="0"/>
        <w:ind w:firstLine="426"/>
        <w:jc w:val="both"/>
        <w:rPr>
          <w:rFonts w:ascii="Times New Roman" w:hAnsi="Times New Roman" w:cs="Times New Roman"/>
          <w:color w:val="000000"/>
          <w:sz w:val="24"/>
          <w:szCs w:val="24"/>
        </w:rPr>
      </w:pPr>
    </w:p>
    <w:p w14:paraId="33AC823D" w14:textId="7C0D2736" w:rsidR="009A4B77" w:rsidRDefault="009A4B77" w:rsidP="00EF1A17">
      <w:pPr>
        <w:autoSpaceDE w:val="0"/>
        <w:autoSpaceDN w:val="0"/>
        <w:adjustRightInd w:val="0"/>
        <w:spacing w:after="0"/>
        <w:ind w:firstLine="426"/>
        <w:jc w:val="both"/>
        <w:rPr>
          <w:rFonts w:ascii="Times New Roman" w:hAnsi="Times New Roman" w:cs="Times New Roman"/>
          <w:color w:val="000000"/>
          <w:sz w:val="24"/>
          <w:szCs w:val="24"/>
        </w:rPr>
      </w:pPr>
    </w:p>
    <w:p w14:paraId="1FA646A5" w14:textId="48F0DD84" w:rsidR="009A4B77" w:rsidRDefault="009A4B77" w:rsidP="00EF1A17">
      <w:pPr>
        <w:autoSpaceDE w:val="0"/>
        <w:autoSpaceDN w:val="0"/>
        <w:adjustRightInd w:val="0"/>
        <w:spacing w:after="0"/>
        <w:ind w:firstLine="426"/>
        <w:jc w:val="both"/>
        <w:rPr>
          <w:rFonts w:ascii="Times New Roman" w:hAnsi="Times New Roman" w:cs="Times New Roman"/>
          <w:color w:val="000000"/>
          <w:sz w:val="24"/>
          <w:szCs w:val="24"/>
        </w:rPr>
      </w:pPr>
    </w:p>
    <w:p w14:paraId="5B6EE5EC" w14:textId="487767D3" w:rsidR="009A4B77" w:rsidRDefault="009A4B77" w:rsidP="00EF1A17">
      <w:pPr>
        <w:autoSpaceDE w:val="0"/>
        <w:autoSpaceDN w:val="0"/>
        <w:adjustRightInd w:val="0"/>
        <w:spacing w:after="0"/>
        <w:ind w:firstLine="426"/>
        <w:jc w:val="both"/>
        <w:rPr>
          <w:rFonts w:ascii="Times New Roman" w:hAnsi="Times New Roman" w:cs="Times New Roman"/>
          <w:color w:val="000000"/>
          <w:sz w:val="24"/>
          <w:szCs w:val="24"/>
        </w:rPr>
      </w:pPr>
    </w:p>
    <w:p w14:paraId="27D6E25F" w14:textId="77777777" w:rsidR="009A4B77" w:rsidRDefault="009A4B77" w:rsidP="00EF1A17">
      <w:pPr>
        <w:autoSpaceDE w:val="0"/>
        <w:autoSpaceDN w:val="0"/>
        <w:adjustRightInd w:val="0"/>
        <w:spacing w:after="0"/>
        <w:ind w:firstLine="426"/>
        <w:jc w:val="both"/>
        <w:rPr>
          <w:rFonts w:ascii="Times New Roman" w:hAnsi="Times New Roman" w:cs="Times New Roman"/>
          <w:bCs/>
          <w:sz w:val="24"/>
          <w:szCs w:val="24"/>
        </w:rPr>
      </w:pPr>
    </w:p>
    <w:p w14:paraId="53324E19" w14:textId="174FEC39" w:rsidR="00636911" w:rsidRPr="000915EA" w:rsidRDefault="00636911" w:rsidP="00636911">
      <w:pPr>
        <w:rPr>
          <w:rFonts w:ascii="Times New Roman" w:hAnsi="Times New Roman" w:cs="Times New Roman"/>
          <w:sz w:val="24"/>
          <w:szCs w:val="24"/>
        </w:rPr>
      </w:pPr>
      <w:r w:rsidRPr="000915EA">
        <w:rPr>
          <w:rFonts w:ascii="Times New Roman" w:hAnsi="Times New Roman" w:cs="Times New Roman"/>
          <w:sz w:val="24"/>
          <w:szCs w:val="24"/>
        </w:rPr>
        <w:t xml:space="preserve">Ryc. 4. Model struktury funkcjonalno-przestrzennej województwa mazowieckiego </w:t>
      </w:r>
    </w:p>
    <w:p w14:paraId="37F6E8B3" w14:textId="1649FA30" w:rsidR="00636911" w:rsidRDefault="00636911" w:rsidP="00EF1A17">
      <w:pPr>
        <w:autoSpaceDE w:val="0"/>
        <w:autoSpaceDN w:val="0"/>
        <w:adjustRightInd w:val="0"/>
        <w:spacing w:after="0"/>
        <w:ind w:firstLine="426"/>
        <w:jc w:val="both"/>
        <w:rPr>
          <w:rFonts w:ascii="Times New Roman" w:hAnsi="Times New Roman" w:cs="Times New Roman"/>
          <w:bCs/>
          <w:sz w:val="24"/>
          <w:szCs w:val="24"/>
        </w:rPr>
      </w:pPr>
    </w:p>
    <w:p w14:paraId="2F0FD124" w14:textId="0CD7136B" w:rsidR="00636911" w:rsidRDefault="00636911" w:rsidP="00EF1A17">
      <w:pPr>
        <w:autoSpaceDE w:val="0"/>
        <w:autoSpaceDN w:val="0"/>
        <w:adjustRightInd w:val="0"/>
        <w:spacing w:after="0"/>
        <w:ind w:firstLine="426"/>
        <w:jc w:val="both"/>
        <w:rPr>
          <w:rFonts w:ascii="Times New Roman" w:hAnsi="Times New Roman" w:cs="Times New Roman"/>
          <w:bCs/>
          <w:sz w:val="24"/>
          <w:szCs w:val="24"/>
        </w:rPr>
      </w:pPr>
    </w:p>
    <w:p w14:paraId="3210B255" w14:textId="77777777" w:rsidR="00636911" w:rsidRPr="00213798" w:rsidRDefault="00636911" w:rsidP="00EF1A17">
      <w:pPr>
        <w:autoSpaceDE w:val="0"/>
        <w:autoSpaceDN w:val="0"/>
        <w:adjustRightInd w:val="0"/>
        <w:spacing w:after="0"/>
        <w:ind w:firstLine="426"/>
        <w:jc w:val="both"/>
        <w:rPr>
          <w:rFonts w:ascii="Times New Roman" w:hAnsi="Times New Roman" w:cs="Times New Roman"/>
          <w:color w:val="000000"/>
          <w:sz w:val="24"/>
          <w:szCs w:val="24"/>
        </w:rPr>
      </w:pPr>
    </w:p>
    <w:p w14:paraId="140726F3" w14:textId="23D151A1" w:rsidR="00EF1A17" w:rsidRPr="00213798" w:rsidRDefault="00EF1A17" w:rsidP="00EF1A17">
      <w:pPr>
        <w:pStyle w:val="Default"/>
        <w:spacing w:line="276" w:lineRule="auto"/>
        <w:ind w:firstLine="708"/>
        <w:jc w:val="center"/>
        <w:rPr>
          <w:rFonts w:ascii="Times New Roman" w:hAnsi="Times New Roman" w:cs="Times New Roman"/>
        </w:rPr>
      </w:pPr>
      <w:r w:rsidRPr="00213798">
        <w:rPr>
          <w:rFonts w:ascii="Times New Roman" w:hAnsi="Times New Roman" w:cs="Times New Roman"/>
          <w:noProof/>
          <w:lang w:eastAsia="pl-PL"/>
        </w:rPr>
        <w:drawing>
          <wp:inline distT="0" distB="0" distL="0" distR="0" wp14:anchorId="303546CF" wp14:editId="06EA4B52">
            <wp:extent cx="5193162" cy="6374307"/>
            <wp:effectExtent l="0" t="0" r="762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6749" cy="6378710"/>
                    </a:xfrm>
                    <a:prstGeom prst="rect">
                      <a:avLst/>
                    </a:prstGeom>
                    <a:noFill/>
                    <a:ln>
                      <a:noFill/>
                    </a:ln>
                  </pic:spPr>
                </pic:pic>
              </a:graphicData>
            </a:graphic>
          </wp:inline>
        </w:drawing>
      </w:r>
    </w:p>
    <w:p w14:paraId="50B05CFE" w14:textId="77777777" w:rsidR="00EF1A17" w:rsidRDefault="00EF1A17" w:rsidP="00EF1A17">
      <w:pPr>
        <w:rPr>
          <w:rFonts w:ascii="Times New Roman" w:hAnsi="Times New Roman" w:cs="Times New Roman"/>
        </w:rPr>
      </w:pPr>
    </w:p>
    <w:p w14:paraId="3C041B7A" w14:textId="79B70C62" w:rsidR="00636911" w:rsidRDefault="00636911" w:rsidP="00636911">
      <w:pPr>
        <w:autoSpaceDE w:val="0"/>
        <w:autoSpaceDN w:val="0"/>
        <w:adjustRightInd w:val="0"/>
        <w:spacing w:after="0"/>
        <w:ind w:firstLine="426"/>
        <w:jc w:val="both"/>
        <w:rPr>
          <w:rFonts w:ascii="Times New Roman" w:hAnsi="Times New Roman" w:cs="Times New Roman"/>
          <w:bCs/>
          <w:sz w:val="24"/>
          <w:szCs w:val="24"/>
        </w:rPr>
      </w:pPr>
      <w:r>
        <w:rPr>
          <w:rFonts w:ascii="Times New Roman" w:hAnsi="Times New Roman" w:cs="Times New Roman"/>
          <w:bCs/>
          <w:sz w:val="24"/>
          <w:szCs w:val="24"/>
        </w:rPr>
        <w:t xml:space="preserve">Źródło: </w:t>
      </w:r>
      <w:r w:rsidRPr="00213798">
        <w:rPr>
          <w:rFonts w:ascii="Times New Roman" w:hAnsi="Times New Roman" w:cs="Times New Roman"/>
          <w:bCs/>
          <w:sz w:val="24"/>
          <w:szCs w:val="24"/>
        </w:rPr>
        <w:t>Strategi</w:t>
      </w:r>
      <w:r>
        <w:rPr>
          <w:rFonts w:ascii="Times New Roman" w:hAnsi="Times New Roman" w:cs="Times New Roman"/>
          <w:bCs/>
          <w:sz w:val="24"/>
          <w:szCs w:val="24"/>
        </w:rPr>
        <w:t>a</w:t>
      </w:r>
      <w:r w:rsidRPr="00213798">
        <w:rPr>
          <w:rFonts w:ascii="Times New Roman" w:hAnsi="Times New Roman" w:cs="Times New Roman"/>
          <w:bCs/>
          <w:sz w:val="24"/>
          <w:szCs w:val="24"/>
        </w:rPr>
        <w:t xml:space="preserve"> rozwoju województwa mazowieckiego 2030+.</w:t>
      </w:r>
    </w:p>
    <w:p w14:paraId="7E62FC71" w14:textId="367B6A2C"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066795D7" w14:textId="77777777" w:rsidR="009A4B77" w:rsidRPr="00213798" w:rsidRDefault="009A4B77" w:rsidP="009A4B77">
      <w:pPr>
        <w:autoSpaceDE w:val="0"/>
        <w:autoSpaceDN w:val="0"/>
        <w:adjustRightInd w:val="0"/>
        <w:spacing w:after="0"/>
        <w:ind w:firstLine="44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 </w:t>
      </w:r>
      <w:r w:rsidRPr="00213798">
        <w:rPr>
          <w:rFonts w:ascii="Times New Roman" w:hAnsi="Times New Roman" w:cs="Times New Roman"/>
          <w:bCs/>
          <w:sz w:val="24"/>
          <w:szCs w:val="24"/>
        </w:rPr>
        <w:t xml:space="preserve">Strategii rozwoju województwa mazowieckiego 2030+ stwierdza się, iż w </w:t>
      </w:r>
      <w:r w:rsidRPr="00213798">
        <w:rPr>
          <w:rFonts w:ascii="Times New Roman" w:hAnsi="Times New Roman" w:cs="Times New Roman"/>
          <w:color w:val="000000"/>
          <w:sz w:val="24"/>
          <w:szCs w:val="24"/>
        </w:rPr>
        <w:t xml:space="preserve">strefach funkcjonalno-przestrzennych należy przede wszystkim lokalizować inwestycje zgodne z funkcjami wiodącymi. Dopuszczalne mogą być również lokalizacje innych funkcji niż </w:t>
      </w:r>
      <w:r w:rsidRPr="00213798">
        <w:rPr>
          <w:rFonts w:ascii="Times New Roman" w:hAnsi="Times New Roman" w:cs="Times New Roman"/>
          <w:color w:val="000000"/>
          <w:sz w:val="24"/>
          <w:szCs w:val="24"/>
        </w:rPr>
        <w:lastRenderedPageBreak/>
        <w:t xml:space="preserve">preferowane – o ile nie będą w kolizji z funkcjami wiodącymi. W celu zwiększenia bezpieczeństwa ludności i mienia na obszarach, na których występuje zagrożenie powodziowe, rekomenduje się następujące działania: </w:t>
      </w:r>
    </w:p>
    <w:p w14:paraId="4EEC0CE1" w14:textId="77777777" w:rsidR="009A4B77" w:rsidRPr="00213798" w:rsidRDefault="009A4B77" w:rsidP="009A4B77">
      <w:pPr>
        <w:pStyle w:val="Akapitzlist"/>
        <w:numPr>
          <w:ilvl w:val="0"/>
          <w:numId w:val="81"/>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„uwzględnianie w dokumentach planistycznych map zagrożenia powodziowego, map ryzy</w:t>
      </w:r>
      <w:r w:rsidRPr="00213798">
        <w:rPr>
          <w:rFonts w:ascii="Times New Roman" w:hAnsi="Times New Roman" w:cs="Times New Roman"/>
          <w:color w:val="000000"/>
          <w:sz w:val="24"/>
          <w:szCs w:val="24"/>
        </w:rPr>
        <w:softHyphen/>
        <w:t xml:space="preserve">ka powodziowego oraz planów zarządzania ryzykiem powodziowym; </w:t>
      </w:r>
    </w:p>
    <w:p w14:paraId="50B70148" w14:textId="77777777" w:rsidR="009A4B77" w:rsidRPr="00213798" w:rsidRDefault="009A4B77" w:rsidP="009A4B77">
      <w:pPr>
        <w:pStyle w:val="Akapitzlist"/>
        <w:numPr>
          <w:ilvl w:val="0"/>
          <w:numId w:val="81"/>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zachowanie i tworzenie systemów retencji wód, budowę i rozbudowę zbiorników retencyj</w:t>
      </w:r>
      <w:r w:rsidRPr="00213798">
        <w:rPr>
          <w:rFonts w:ascii="Times New Roman" w:hAnsi="Times New Roman" w:cs="Times New Roman"/>
          <w:color w:val="000000"/>
          <w:sz w:val="24"/>
          <w:szCs w:val="24"/>
        </w:rPr>
        <w:softHyphen/>
        <w:t xml:space="preserve">nych, suchych zbiorników przeciwpowodziowych oraz polderów przeciwpowodziowych i kanałów ulgi, które umożliwią sterowanie przepływami wód; </w:t>
      </w:r>
    </w:p>
    <w:p w14:paraId="17B9166D" w14:textId="77777777" w:rsidR="009A4B77" w:rsidRPr="00213798" w:rsidRDefault="009A4B77" w:rsidP="009A4B77">
      <w:pPr>
        <w:pStyle w:val="Akapitzlist"/>
        <w:numPr>
          <w:ilvl w:val="0"/>
          <w:numId w:val="81"/>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zachowanie walorów przyrodniczo-krajobrazowych terenów zalewowych poprzez ich eks</w:t>
      </w:r>
      <w:r w:rsidRPr="00213798">
        <w:rPr>
          <w:rFonts w:ascii="Times New Roman" w:hAnsi="Times New Roman" w:cs="Times New Roman"/>
          <w:color w:val="000000"/>
          <w:sz w:val="24"/>
          <w:szCs w:val="24"/>
        </w:rPr>
        <w:softHyphen/>
        <w:t xml:space="preserve">tensywne wykorzystanie rolnicze (m.in. wypas, koszenie łąk ograniczające zakrzewienie oraz ograniczenia w nawożeniu i zakaz stosowania środków ochrony roślin i wypalania traw); </w:t>
      </w:r>
    </w:p>
    <w:p w14:paraId="329E2353" w14:textId="77777777" w:rsidR="009A4B77" w:rsidRPr="00213798" w:rsidRDefault="009A4B77" w:rsidP="009A4B77">
      <w:pPr>
        <w:pStyle w:val="Akapitzlist"/>
        <w:numPr>
          <w:ilvl w:val="0"/>
          <w:numId w:val="81"/>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prowadzenie robót utrzymaniowych i udrażniających, kształtujących przemieszczanie się wezbrań na obszarach międzywala; </w:t>
      </w:r>
    </w:p>
    <w:p w14:paraId="77BDE4D1" w14:textId="77777777" w:rsidR="009A4B77" w:rsidRPr="009A4B77" w:rsidRDefault="009A4B77" w:rsidP="009A4B77">
      <w:pPr>
        <w:pStyle w:val="Akapitzlist"/>
        <w:numPr>
          <w:ilvl w:val="0"/>
          <w:numId w:val="81"/>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ograniczanie zabudowy mieszkaniowej i gospodarczej poza jednostkami osadniczy</w:t>
      </w:r>
      <w:r w:rsidRPr="00213798">
        <w:rPr>
          <w:rFonts w:ascii="Times New Roman" w:hAnsi="Times New Roman" w:cs="Times New Roman"/>
          <w:color w:val="000000"/>
          <w:sz w:val="24"/>
          <w:szCs w:val="24"/>
        </w:rPr>
        <w:softHyphen/>
        <w:t>mi, a także zabudowy polderów oraz lokalizacji obiektów i instalacji mogących znacząco oddziaływać na środowisko, w tym zakładów dużego i zwiększonego ryzyka wystąpienia poważnych awarii.”</w:t>
      </w:r>
    </w:p>
    <w:p w14:paraId="4B001292" w14:textId="77777777" w:rsidR="009A4B77" w:rsidRDefault="009A4B77" w:rsidP="009A4B77">
      <w:pPr>
        <w:autoSpaceDE w:val="0"/>
        <w:autoSpaceDN w:val="0"/>
        <w:adjustRightInd w:val="0"/>
        <w:spacing w:after="0"/>
        <w:ind w:firstLine="426"/>
        <w:jc w:val="both"/>
        <w:rPr>
          <w:rFonts w:ascii="Times New Roman" w:hAnsi="Times New Roman" w:cs="Times New Roman"/>
          <w:bCs/>
          <w:sz w:val="24"/>
          <w:szCs w:val="24"/>
        </w:rPr>
      </w:pPr>
      <w:r w:rsidRPr="00213798">
        <w:rPr>
          <w:rFonts w:ascii="Times New Roman" w:hAnsi="Times New Roman" w:cs="Times New Roman"/>
          <w:bCs/>
          <w:sz w:val="24"/>
          <w:szCs w:val="24"/>
        </w:rPr>
        <w:t xml:space="preserve">Rozstrzygnięcia przyjęte w </w:t>
      </w:r>
      <w:r w:rsidRPr="00213798">
        <w:rPr>
          <w:rFonts w:ascii="Times New Roman" w:hAnsi="Times New Roman" w:cs="Times New Roman"/>
          <w:sz w:val="24"/>
          <w:szCs w:val="24"/>
        </w:rPr>
        <w:t>„</w:t>
      </w:r>
      <w:r w:rsidRPr="00213798">
        <w:rPr>
          <w:rFonts w:ascii="Times New Roman" w:hAnsi="Times New Roman" w:cs="Times New Roman"/>
          <w:bCs/>
          <w:sz w:val="24"/>
          <w:szCs w:val="24"/>
        </w:rPr>
        <w:t xml:space="preserve">Studium uwarunkowań i kierunków zagospodarowania przestrzennego Miasta i Gminy Góra Kalwaria. Kierunki zagospodarowania przestrzennego, </w:t>
      </w:r>
      <w:r w:rsidRPr="00213798">
        <w:rPr>
          <w:rFonts w:ascii="Times New Roman" w:hAnsi="Times New Roman" w:cs="Times New Roman"/>
          <w:sz w:val="24"/>
          <w:szCs w:val="24"/>
        </w:rPr>
        <w:t xml:space="preserve">(ze zmianą dot.: fragmentów wsi: wsi Aleksandrów i Linin). </w:t>
      </w:r>
      <w:r w:rsidRPr="00213798">
        <w:rPr>
          <w:rFonts w:ascii="Times New Roman" w:hAnsi="Times New Roman" w:cs="Times New Roman"/>
          <w:bCs/>
          <w:sz w:val="24"/>
          <w:szCs w:val="24"/>
        </w:rPr>
        <w:t>Sporządzający – burmistrz Miasta i Gminy Góra Kalwaria, Warszawa – czerwiec 2014” na których bazuje Strategia rozwoju gminy Góra Kalwaria są zgodne z</w:t>
      </w:r>
      <w:r w:rsidRPr="00213798">
        <w:rPr>
          <w:rFonts w:ascii="Times New Roman" w:hAnsi="Times New Roman" w:cs="Times New Roman"/>
          <w:color w:val="000000"/>
          <w:sz w:val="24"/>
          <w:szCs w:val="24"/>
        </w:rPr>
        <w:t xml:space="preserve"> powyżej cytowanymi zapisami </w:t>
      </w:r>
      <w:r w:rsidRPr="00213798">
        <w:rPr>
          <w:rFonts w:ascii="Times New Roman" w:hAnsi="Times New Roman" w:cs="Times New Roman"/>
          <w:bCs/>
          <w:sz w:val="24"/>
          <w:szCs w:val="24"/>
        </w:rPr>
        <w:t>Strategii rozwoju województwa mazowieckiego 2030+. W konkluzji można stwierdzić, iż r</w:t>
      </w:r>
      <w:r w:rsidRPr="00213798">
        <w:rPr>
          <w:rFonts w:ascii="Times New Roman" w:hAnsi="Times New Roman" w:cs="Times New Roman"/>
          <w:bCs/>
          <w:color w:val="000000"/>
          <w:sz w:val="24"/>
          <w:szCs w:val="24"/>
        </w:rPr>
        <w:t xml:space="preserve">ozstrzygnięcia przyjęte w Strategii rozwoju gminy Góra Kalwaria są zgodne z przedstawionymi wyżej zapisami </w:t>
      </w:r>
      <w:r w:rsidRPr="00213798">
        <w:rPr>
          <w:rFonts w:ascii="Times New Roman" w:hAnsi="Times New Roman" w:cs="Times New Roman"/>
          <w:bCs/>
          <w:sz w:val="24"/>
          <w:szCs w:val="24"/>
        </w:rPr>
        <w:t>Strategii rozwoju województwa mazowieckiego 2030+.</w:t>
      </w:r>
    </w:p>
    <w:p w14:paraId="37A4DBD9" w14:textId="58B200C5"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3FD45F08" w14:textId="7216C79D"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0151124B" w14:textId="716F6DEA"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5AD8AA22" w14:textId="4503CB91"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3DA56520" w14:textId="40809CD4"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210D4D2E" w14:textId="3AA9802A"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13A69CEF" w14:textId="4186D6FD"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6CF273E3" w14:textId="39D2CB46"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66CD076E" w14:textId="1B6D8ACD"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5472ACF8" w14:textId="34028D4B"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60F341D9" w14:textId="68FD7594"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5E94927E" w14:textId="48E75964"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6E5D3EF2" w14:textId="46E220B6"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6C0DC6FF" w14:textId="195DD673"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3FF8AD67" w14:textId="3C8F0647"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55F09680" w14:textId="766CCC95"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46F15DE6" w14:textId="2DA72D46"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01809287" w14:textId="4EED3FEA" w:rsidR="009A4B77" w:rsidRDefault="009A4B77" w:rsidP="00636911">
      <w:pPr>
        <w:autoSpaceDE w:val="0"/>
        <w:autoSpaceDN w:val="0"/>
        <w:adjustRightInd w:val="0"/>
        <w:spacing w:after="0"/>
        <w:ind w:firstLine="426"/>
        <w:jc w:val="both"/>
        <w:rPr>
          <w:rFonts w:ascii="Times New Roman" w:hAnsi="Times New Roman" w:cs="Times New Roman"/>
          <w:bCs/>
          <w:sz w:val="24"/>
          <w:szCs w:val="24"/>
        </w:rPr>
      </w:pPr>
    </w:p>
    <w:p w14:paraId="5CE5A8A9" w14:textId="77777777" w:rsidR="009A4B77" w:rsidRDefault="009A4B77" w:rsidP="00466B30">
      <w:pPr>
        <w:autoSpaceDE w:val="0"/>
        <w:autoSpaceDN w:val="0"/>
        <w:adjustRightInd w:val="0"/>
        <w:spacing w:after="0"/>
        <w:jc w:val="both"/>
        <w:rPr>
          <w:rFonts w:ascii="Times New Roman" w:hAnsi="Times New Roman" w:cs="Times New Roman"/>
          <w:bCs/>
          <w:sz w:val="24"/>
          <w:szCs w:val="24"/>
        </w:rPr>
      </w:pPr>
    </w:p>
    <w:p w14:paraId="012A8DFA" w14:textId="734F6EC7" w:rsidR="00AF118E" w:rsidRPr="0007078D" w:rsidRDefault="00213798" w:rsidP="009A4B77">
      <w:pPr>
        <w:pStyle w:val="Nagwek1"/>
        <w:numPr>
          <w:ilvl w:val="0"/>
          <w:numId w:val="123"/>
        </w:numPr>
        <w:rPr>
          <w:rFonts w:ascii="Times New Roman" w:hAnsi="Times New Roman" w:cs="Times New Roman"/>
          <w:b/>
          <w:bCs/>
          <w:color w:val="0070C0"/>
          <w:sz w:val="28"/>
          <w:szCs w:val="28"/>
        </w:rPr>
      </w:pPr>
      <w:bookmarkStart w:id="37" w:name="_Hlk119635647"/>
      <w:r w:rsidRPr="0007078D">
        <w:rPr>
          <w:rFonts w:ascii="Times New Roman" w:hAnsi="Times New Roman" w:cs="Times New Roman"/>
          <w:b/>
          <w:bCs/>
          <w:color w:val="0070C0"/>
          <w:sz w:val="28"/>
          <w:szCs w:val="28"/>
        </w:rPr>
        <w:lastRenderedPageBreak/>
        <w:t xml:space="preserve">Obszary strategicznej interwencji  </w:t>
      </w:r>
      <w:bookmarkEnd w:id="37"/>
    </w:p>
    <w:p w14:paraId="07B636AD" w14:textId="77777777" w:rsidR="00246134" w:rsidRPr="00246134" w:rsidRDefault="00246134" w:rsidP="00246134"/>
    <w:p w14:paraId="1DD2ECDE" w14:textId="77777777" w:rsidR="00EF1A17" w:rsidRPr="00213798" w:rsidRDefault="00EF1A17" w:rsidP="00EF1A17">
      <w:pPr>
        <w:autoSpaceDE w:val="0"/>
        <w:autoSpaceDN w:val="0"/>
        <w:adjustRightInd w:val="0"/>
        <w:spacing w:after="0"/>
        <w:ind w:firstLine="44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 </w:t>
      </w:r>
      <w:r w:rsidRPr="00213798">
        <w:rPr>
          <w:rFonts w:ascii="Times New Roman" w:hAnsi="Times New Roman" w:cs="Times New Roman"/>
          <w:iCs/>
          <w:color w:val="000000"/>
          <w:sz w:val="24"/>
          <w:szCs w:val="24"/>
        </w:rPr>
        <w:t xml:space="preserve">Strategii rozwoju województwa mazowieckiego 2030+ </w:t>
      </w:r>
      <w:r w:rsidRPr="00213798">
        <w:rPr>
          <w:rFonts w:ascii="Times New Roman" w:hAnsi="Times New Roman" w:cs="Times New Roman"/>
          <w:color w:val="000000"/>
          <w:sz w:val="24"/>
          <w:szCs w:val="24"/>
        </w:rPr>
        <w:t>zidentyfikowano obszary strategicznej interwencji (OSI), na podstawie definicji określonej w ustawie o zasadach prowadzenia polityki rozwoju – jako obszary o zidentyfikowanych lub potencjalnych powiązaniach funkcjonalnych lub o szczególnych warunkach społecznych, gospodarczych lub przestrzennych, decydujących o występowaniu barier rozwoju lub trwałych, możliwych do aktywowania, potencjałów rozwojo</w:t>
      </w:r>
      <w:r w:rsidRPr="00213798">
        <w:rPr>
          <w:rFonts w:ascii="Times New Roman" w:hAnsi="Times New Roman" w:cs="Times New Roman"/>
          <w:color w:val="000000"/>
          <w:sz w:val="24"/>
          <w:szCs w:val="24"/>
        </w:rPr>
        <w:softHyphen/>
        <w:t xml:space="preserve">wych, do których jest kierowana interwencja publiczna. </w:t>
      </w:r>
    </w:p>
    <w:p w14:paraId="3FD5D22C" w14:textId="7AE21F4B" w:rsidR="00EF1A17" w:rsidRPr="00213798" w:rsidRDefault="00EF1A17" w:rsidP="00EF1A17">
      <w:pPr>
        <w:autoSpaceDE w:val="0"/>
        <w:autoSpaceDN w:val="0"/>
        <w:adjustRightInd w:val="0"/>
        <w:spacing w:after="0"/>
        <w:ind w:firstLine="44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W związku z powyższym, w województwie mazowieckim na poziomie regionalnym zostały wyznaczone dwa typy OSI (por</w:t>
      </w:r>
      <w:r w:rsidR="00466B30">
        <w:rPr>
          <w:rFonts w:ascii="Times New Roman" w:hAnsi="Times New Roman" w:cs="Times New Roman"/>
          <w:color w:val="000000"/>
          <w:sz w:val="24"/>
          <w:szCs w:val="24"/>
        </w:rPr>
        <w:t xml:space="preserve">ównaj </w:t>
      </w:r>
      <w:r w:rsidRPr="00213798">
        <w:rPr>
          <w:rFonts w:ascii="Times New Roman" w:hAnsi="Times New Roman" w:cs="Times New Roman"/>
          <w:color w:val="000000"/>
          <w:sz w:val="24"/>
          <w:szCs w:val="24"/>
        </w:rPr>
        <w:t xml:space="preserve"> Ryc.</w:t>
      </w:r>
      <w:r w:rsidR="00466B30">
        <w:rPr>
          <w:rFonts w:ascii="Times New Roman" w:hAnsi="Times New Roman" w:cs="Times New Roman"/>
          <w:color w:val="000000"/>
          <w:sz w:val="24"/>
          <w:szCs w:val="24"/>
        </w:rPr>
        <w:t xml:space="preserve"> 5</w:t>
      </w:r>
      <w:r w:rsidRPr="00213798">
        <w:rPr>
          <w:rFonts w:ascii="Times New Roman" w:hAnsi="Times New Roman" w:cs="Times New Roman"/>
          <w:color w:val="000000"/>
          <w:sz w:val="24"/>
          <w:szCs w:val="24"/>
        </w:rPr>
        <w:t xml:space="preserve">)  </w:t>
      </w:r>
    </w:p>
    <w:p w14:paraId="08ECAD71" w14:textId="77777777" w:rsidR="00EF1A17" w:rsidRPr="00213798" w:rsidRDefault="00EF1A17">
      <w:pPr>
        <w:pStyle w:val="Akapitzlist"/>
        <w:numPr>
          <w:ilvl w:val="0"/>
          <w:numId w:val="82"/>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b/>
          <w:bCs/>
          <w:color w:val="000000"/>
          <w:sz w:val="24"/>
          <w:szCs w:val="24"/>
        </w:rPr>
        <w:t xml:space="preserve">problemowe – podregiony NUTS 3: </w:t>
      </w:r>
      <w:r w:rsidRPr="00213798">
        <w:rPr>
          <w:rFonts w:ascii="Times New Roman" w:hAnsi="Times New Roman" w:cs="Times New Roman"/>
          <w:color w:val="000000"/>
          <w:sz w:val="24"/>
          <w:szCs w:val="24"/>
        </w:rPr>
        <w:t xml:space="preserve">w regionie Mazowieckim regionalnym: ciechanowski, ostrołęcki, płocki, radomski, siedlecki, żyrardowski, zaś w regionie Warszawskim stołecznym: warszawski zachodni, warszawski wschodni i miasto Warszawa, </w:t>
      </w:r>
    </w:p>
    <w:p w14:paraId="7AC67827" w14:textId="77777777" w:rsidR="00EF1A17" w:rsidRPr="00213798" w:rsidRDefault="00EF1A17">
      <w:pPr>
        <w:pStyle w:val="Akapitzlist"/>
        <w:numPr>
          <w:ilvl w:val="0"/>
          <w:numId w:val="82"/>
        </w:numPr>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b/>
          <w:bCs/>
          <w:color w:val="000000"/>
          <w:sz w:val="24"/>
          <w:szCs w:val="24"/>
        </w:rPr>
        <w:t>bieguny wzrostu – miejskie obszary funkcjonalne</w:t>
      </w:r>
      <w:r w:rsidRPr="00213798">
        <w:rPr>
          <w:rFonts w:ascii="Times New Roman" w:hAnsi="Times New Roman" w:cs="Times New Roman"/>
          <w:color w:val="000000"/>
          <w:sz w:val="24"/>
          <w:szCs w:val="24"/>
        </w:rPr>
        <w:t xml:space="preserve">: miejski obszar funkcjonalny Warszawy (region Warszawski stołeczny) jako istniejący biegun wzrostu, oraz miejskie obszary funkcjonalne miast średnich tracących funkcje społeczno-gospodarcze oraz Płocka, Siedlec i Żyrardowa jako potencjalnych biegunów wzrostu. </w:t>
      </w:r>
    </w:p>
    <w:p w14:paraId="2AFC6189" w14:textId="77777777" w:rsidR="00EF1A17" w:rsidRPr="00213798" w:rsidRDefault="00EF1A17" w:rsidP="00EF1A17">
      <w:pPr>
        <w:autoSpaceDE w:val="0"/>
        <w:autoSpaceDN w:val="0"/>
        <w:adjustRightInd w:val="0"/>
        <w:spacing w:after="0"/>
        <w:ind w:firstLine="426"/>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Poza powyższym, OSI określone na poziomie województwa obejmują także OSI z poziomu krajowego, wskazane w SOR oraz KSRR 2030, tj. obszary zagrożone trwałą marginalizacją (101 gmin w województwie mazowieckim) oraz miasta średnie tracące funkcje społeczno-gospodarcze – Radom, Ciechanów, Ostrołęka, Pułtusk, Ostrów Mazowiecka, Gostynin, Sierpc, Kozienice.</w:t>
      </w:r>
    </w:p>
    <w:p w14:paraId="2F3697DE" w14:textId="77777777" w:rsidR="00EF1A17" w:rsidRPr="00213798" w:rsidRDefault="00EF1A17" w:rsidP="00EF1A17">
      <w:pPr>
        <w:autoSpaceDE w:val="0"/>
        <w:autoSpaceDN w:val="0"/>
        <w:adjustRightInd w:val="0"/>
        <w:spacing w:after="0"/>
        <w:jc w:val="both"/>
        <w:rPr>
          <w:rFonts w:ascii="Times New Roman" w:hAnsi="Times New Roman" w:cs="Times New Roman"/>
          <w:b/>
          <w:bCs/>
          <w:color w:val="000000"/>
          <w:sz w:val="24"/>
          <w:szCs w:val="24"/>
        </w:rPr>
      </w:pPr>
    </w:p>
    <w:p w14:paraId="5C6CE3FB" w14:textId="77777777" w:rsidR="00EF1A17" w:rsidRPr="00213798" w:rsidRDefault="00EF1A17" w:rsidP="00EF1A17">
      <w:pPr>
        <w:autoSpaceDE w:val="0"/>
        <w:autoSpaceDN w:val="0"/>
        <w:adjustRightInd w:val="0"/>
        <w:spacing w:after="0"/>
        <w:jc w:val="both"/>
        <w:rPr>
          <w:rFonts w:ascii="Times New Roman" w:hAnsi="Times New Roman" w:cs="Times New Roman"/>
          <w:color w:val="000000"/>
          <w:sz w:val="24"/>
          <w:szCs w:val="24"/>
        </w:rPr>
      </w:pPr>
      <w:r w:rsidRPr="00213798">
        <w:rPr>
          <w:rFonts w:ascii="Times New Roman" w:hAnsi="Times New Roman" w:cs="Times New Roman"/>
          <w:bCs/>
          <w:color w:val="000000"/>
          <w:sz w:val="24"/>
          <w:szCs w:val="24"/>
        </w:rPr>
        <w:t xml:space="preserve">Gmina Góra Kalwaria leży na obszarze Warszawsko-zachodniego obszaru strategicznej interwencji. </w:t>
      </w:r>
      <w:r w:rsidRPr="00213798">
        <w:rPr>
          <w:rFonts w:ascii="Times New Roman" w:hAnsi="Times New Roman" w:cs="Times New Roman"/>
          <w:color w:val="000000"/>
          <w:sz w:val="24"/>
          <w:szCs w:val="24"/>
        </w:rPr>
        <w:t xml:space="preserve">Działania w OSI warszawsko-zachodnim skoncentrowane będą na wskazanych poniżej obszarach. </w:t>
      </w:r>
    </w:p>
    <w:p w14:paraId="58730733" w14:textId="77777777" w:rsidR="00EF1A17" w:rsidRPr="00213798" w:rsidRDefault="00EF1A17" w:rsidP="00EF1A17">
      <w:pPr>
        <w:autoSpaceDE w:val="0"/>
        <w:autoSpaceDN w:val="0"/>
        <w:adjustRightInd w:val="0"/>
        <w:spacing w:after="0"/>
        <w:ind w:left="500" w:hanging="44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1. </w:t>
      </w:r>
      <w:r w:rsidRPr="00466B30">
        <w:rPr>
          <w:rFonts w:ascii="Times New Roman" w:hAnsi="Times New Roman" w:cs="Times New Roman"/>
          <w:b/>
          <w:color w:val="000000"/>
          <w:sz w:val="24"/>
          <w:szCs w:val="24"/>
        </w:rPr>
        <w:t>Wsparcie bardziej trwałego i zrównoważonego rozwoju poprzez:</w:t>
      </w:r>
      <w:r w:rsidRPr="00213798">
        <w:rPr>
          <w:rFonts w:ascii="Times New Roman" w:hAnsi="Times New Roman" w:cs="Times New Roman"/>
          <w:bCs/>
          <w:color w:val="000000"/>
          <w:sz w:val="24"/>
          <w:szCs w:val="24"/>
        </w:rPr>
        <w:t xml:space="preserve"> </w:t>
      </w:r>
    </w:p>
    <w:p w14:paraId="4FE80266" w14:textId="77777777" w:rsidR="00EF1A17" w:rsidRPr="00213798" w:rsidRDefault="00EF1A17" w:rsidP="00466B30">
      <w:pPr>
        <w:pStyle w:val="Akapitzlist"/>
        <w:numPr>
          <w:ilvl w:val="0"/>
          <w:numId w:val="83"/>
        </w:numPr>
        <w:autoSpaceDE w:val="0"/>
        <w:autoSpaceDN w:val="0"/>
        <w:adjustRightInd w:val="0"/>
        <w:spacing w:after="0" w:line="276" w:lineRule="auto"/>
        <w:ind w:left="709" w:hanging="283"/>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dbałość o cenne zasoby środowiska naturalnego oraz ochronę zasobów przyrodniczych i terenów rolnych przed presją antropogeniczną, </w:t>
      </w:r>
    </w:p>
    <w:p w14:paraId="12B0D8DA" w14:textId="77777777" w:rsidR="00EF1A17" w:rsidRPr="00213798" w:rsidRDefault="00EF1A17" w:rsidP="00466B30">
      <w:pPr>
        <w:pStyle w:val="Akapitzlist"/>
        <w:numPr>
          <w:ilvl w:val="0"/>
          <w:numId w:val="83"/>
        </w:numPr>
        <w:autoSpaceDE w:val="0"/>
        <w:autoSpaceDN w:val="0"/>
        <w:adjustRightInd w:val="0"/>
        <w:spacing w:after="0" w:line="276" w:lineRule="auto"/>
        <w:ind w:left="709" w:hanging="283"/>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skoordynowanej oferty inwestycyjnej, </w:t>
      </w:r>
    </w:p>
    <w:p w14:paraId="257BD5D9" w14:textId="77777777" w:rsidR="00EF1A17" w:rsidRPr="00213798" w:rsidRDefault="00EF1A17" w:rsidP="00466B30">
      <w:pPr>
        <w:pStyle w:val="Akapitzlist"/>
        <w:numPr>
          <w:ilvl w:val="0"/>
          <w:numId w:val="83"/>
        </w:numPr>
        <w:autoSpaceDE w:val="0"/>
        <w:autoSpaceDN w:val="0"/>
        <w:adjustRightInd w:val="0"/>
        <w:spacing w:after="0" w:line="276" w:lineRule="auto"/>
        <w:ind w:left="709" w:hanging="283"/>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strefy okołolotniskowej lotniska Warszawa-Modlin, w tym budowę bezpośredniego połączenia kolejowego z lotniskiem, </w:t>
      </w:r>
    </w:p>
    <w:p w14:paraId="1AC7B795" w14:textId="77777777" w:rsidR="00EF1A17" w:rsidRPr="00213798" w:rsidRDefault="00EF1A17" w:rsidP="00466B30">
      <w:pPr>
        <w:pStyle w:val="Akapitzlist"/>
        <w:numPr>
          <w:ilvl w:val="0"/>
          <w:numId w:val="83"/>
        </w:numPr>
        <w:autoSpaceDE w:val="0"/>
        <w:autoSpaceDN w:val="0"/>
        <w:adjustRightInd w:val="0"/>
        <w:spacing w:after="0" w:line="276" w:lineRule="auto"/>
        <w:ind w:left="709" w:hanging="283"/>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wdrażanie przyjaznych dla środowiska rozwiązań technologicznych w przedsiębiorstwach. </w:t>
      </w:r>
    </w:p>
    <w:p w14:paraId="7ADA891F" w14:textId="77777777" w:rsidR="00EF1A17" w:rsidRPr="00466B30" w:rsidRDefault="00EF1A17" w:rsidP="00EF1A17">
      <w:pPr>
        <w:autoSpaceDE w:val="0"/>
        <w:autoSpaceDN w:val="0"/>
        <w:adjustRightInd w:val="0"/>
        <w:spacing w:after="0"/>
        <w:ind w:left="500" w:hanging="440"/>
        <w:jc w:val="both"/>
        <w:rPr>
          <w:rFonts w:ascii="Times New Roman" w:hAnsi="Times New Roman" w:cs="Times New Roman"/>
          <w:b/>
          <w:color w:val="000000"/>
          <w:sz w:val="24"/>
          <w:szCs w:val="24"/>
        </w:rPr>
      </w:pPr>
      <w:r w:rsidRPr="00213798">
        <w:rPr>
          <w:rFonts w:ascii="Times New Roman" w:hAnsi="Times New Roman" w:cs="Times New Roman"/>
          <w:color w:val="000000"/>
          <w:sz w:val="24"/>
          <w:szCs w:val="24"/>
        </w:rPr>
        <w:t xml:space="preserve">2. </w:t>
      </w:r>
      <w:r w:rsidRPr="00466B30">
        <w:rPr>
          <w:rFonts w:ascii="Times New Roman" w:hAnsi="Times New Roman" w:cs="Times New Roman"/>
          <w:b/>
          <w:color w:val="000000"/>
          <w:sz w:val="24"/>
          <w:szCs w:val="24"/>
        </w:rPr>
        <w:t xml:space="preserve">Poprawa dostępności do infrastruktury komunalnej i usług społecznych poprzez: </w:t>
      </w:r>
    </w:p>
    <w:p w14:paraId="2CCB5ABB" w14:textId="77777777" w:rsidR="00EF1A17" w:rsidRPr="00213798" w:rsidRDefault="00EF1A17" w:rsidP="00466B30">
      <w:pPr>
        <w:pStyle w:val="Akapitzlist"/>
        <w:numPr>
          <w:ilvl w:val="0"/>
          <w:numId w:val="84"/>
        </w:numPr>
        <w:autoSpaceDE w:val="0"/>
        <w:autoSpaceDN w:val="0"/>
        <w:adjustRightInd w:val="0"/>
        <w:spacing w:after="0" w:line="276" w:lineRule="auto"/>
        <w:ind w:left="709"/>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rozbudowę i modernizację infrastruktury komunalnej, </w:t>
      </w:r>
    </w:p>
    <w:p w14:paraId="08201E91" w14:textId="77777777" w:rsidR="00466B30" w:rsidRDefault="00EF1A17" w:rsidP="00466B30">
      <w:pPr>
        <w:pStyle w:val="Akapitzlist"/>
        <w:numPr>
          <w:ilvl w:val="0"/>
          <w:numId w:val="84"/>
        </w:numPr>
        <w:autoSpaceDE w:val="0"/>
        <w:autoSpaceDN w:val="0"/>
        <w:adjustRightInd w:val="0"/>
        <w:spacing w:after="0" w:line="276" w:lineRule="auto"/>
        <w:ind w:left="709"/>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poprawę dostępności do usług publicznych w zakresie edukacji, ochrony zdrowia i opieki senioralnej, </w:t>
      </w:r>
    </w:p>
    <w:p w14:paraId="06A9FDF6" w14:textId="77777777" w:rsidR="00466B30" w:rsidRDefault="00EF1A17" w:rsidP="00466B30">
      <w:pPr>
        <w:pStyle w:val="Akapitzlist"/>
        <w:numPr>
          <w:ilvl w:val="0"/>
          <w:numId w:val="84"/>
        </w:numPr>
        <w:autoSpaceDE w:val="0"/>
        <w:autoSpaceDN w:val="0"/>
        <w:adjustRightInd w:val="0"/>
        <w:spacing w:after="0" w:line="276" w:lineRule="auto"/>
        <w:ind w:left="709"/>
        <w:jc w:val="both"/>
        <w:rPr>
          <w:rFonts w:ascii="Times New Roman" w:hAnsi="Times New Roman" w:cs="Times New Roman"/>
          <w:color w:val="000000"/>
          <w:sz w:val="24"/>
          <w:szCs w:val="24"/>
        </w:rPr>
      </w:pPr>
      <w:r w:rsidRPr="00466B30">
        <w:rPr>
          <w:rFonts w:ascii="Times New Roman" w:hAnsi="Times New Roman" w:cs="Times New Roman"/>
          <w:color w:val="000000"/>
          <w:sz w:val="24"/>
          <w:szCs w:val="24"/>
        </w:rPr>
        <w:t xml:space="preserve">modernizację systemu gospodarki odpadami – wdrażanie gospodarki o obiegu zamkniętym, </w:t>
      </w:r>
    </w:p>
    <w:p w14:paraId="2F14E73C" w14:textId="2924DFC9" w:rsidR="00EF1A17" w:rsidRPr="00466B30" w:rsidRDefault="00EF1A17" w:rsidP="00466B30">
      <w:pPr>
        <w:pStyle w:val="Akapitzlist"/>
        <w:numPr>
          <w:ilvl w:val="0"/>
          <w:numId w:val="84"/>
        </w:numPr>
        <w:autoSpaceDE w:val="0"/>
        <w:autoSpaceDN w:val="0"/>
        <w:adjustRightInd w:val="0"/>
        <w:spacing w:after="0" w:line="276" w:lineRule="auto"/>
        <w:ind w:left="709"/>
        <w:jc w:val="both"/>
        <w:rPr>
          <w:rFonts w:ascii="Times New Roman" w:hAnsi="Times New Roman" w:cs="Times New Roman"/>
          <w:color w:val="000000"/>
          <w:sz w:val="24"/>
          <w:szCs w:val="24"/>
        </w:rPr>
      </w:pPr>
      <w:r w:rsidRPr="00466B30">
        <w:rPr>
          <w:rFonts w:ascii="Times New Roman" w:hAnsi="Times New Roman" w:cs="Times New Roman"/>
          <w:color w:val="000000"/>
          <w:sz w:val="24"/>
          <w:szCs w:val="24"/>
        </w:rPr>
        <w:t>zwiększenie udziału energii ze źródeł odnawialnych.</w:t>
      </w:r>
    </w:p>
    <w:p w14:paraId="478C5260" w14:textId="76AFC5A5" w:rsidR="00636911" w:rsidRDefault="00636911" w:rsidP="00636911">
      <w:pPr>
        <w:autoSpaceDE w:val="0"/>
        <w:autoSpaceDN w:val="0"/>
        <w:adjustRightInd w:val="0"/>
        <w:spacing w:after="0" w:line="276" w:lineRule="auto"/>
        <w:jc w:val="both"/>
        <w:rPr>
          <w:rFonts w:ascii="Times New Roman" w:hAnsi="Times New Roman" w:cs="Times New Roman"/>
          <w:color w:val="000000"/>
          <w:sz w:val="24"/>
          <w:szCs w:val="24"/>
        </w:rPr>
      </w:pPr>
    </w:p>
    <w:p w14:paraId="503E41ED" w14:textId="7F740C04" w:rsidR="00636911" w:rsidRDefault="00636911" w:rsidP="00636911">
      <w:pPr>
        <w:autoSpaceDE w:val="0"/>
        <w:autoSpaceDN w:val="0"/>
        <w:adjustRightInd w:val="0"/>
        <w:spacing w:after="0" w:line="276" w:lineRule="auto"/>
        <w:jc w:val="both"/>
        <w:rPr>
          <w:rFonts w:ascii="Times New Roman" w:hAnsi="Times New Roman" w:cs="Times New Roman"/>
          <w:color w:val="000000"/>
          <w:sz w:val="24"/>
          <w:szCs w:val="24"/>
        </w:rPr>
      </w:pPr>
    </w:p>
    <w:p w14:paraId="21FDFD60" w14:textId="27EE1289" w:rsidR="00636911" w:rsidRDefault="00636911" w:rsidP="00636911">
      <w:pPr>
        <w:autoSpaceDE w:val="0"/>
        <w:autoSpaceDN w:val="0"/>
        <w:adjustRightInd w:val="0"/>
        <w:spacing w:after="0" w:line="276" w:lineRule="auto"/>
        <w:jc w:val="both"/>
        <w:rPr>
          <w:rFonts w:ascii="Times New Roman" w:hAnsi="Times New Roman" w:cs="Times New Roman"/>
          <w:color w:val="000000"/>
          <w:sz w:val="24"/>
          <w:szCs w:val="24"/>
        </w:rPr>
      </w:pPr>
    </w:p>
    <w:p w14:paraId="7349D042" w14:textId="7D5748E6" w:rsidR="00636911" w:rsidRPr="00636911" w:rsidRDefault="00636911" w:rsidP="00636911">
      <w:pPr>
        <w:autoSpaceDE w:val="0"/>
        <w:autoSpaceDN w:val="0"/>
        <w:adjustRightInd w:val="0"/>
        <w:spacing w:after="0" w:line="276" w:lineRule="auto"/>
        <w:jc w:val="both"/>
        <w:rPr>
          <w:rFonts w:ascii="Times New Roman" w:hAnsi="Times New Roman" w:cs="Times New Roman"/>
          <w:color w:val="000000"/>
          <w:sz w:val="24"/>
          <w:szCs w:val="24"/>
        </w:rPr>
      </w:pPr>
      <w:bookmarkStart w:id="38" w:name="_Hlk119635774"/>
      <w:r>
        <w:rPr>
          <w:rFonts w:ascii="Times New Roman" w:hAnsi="Times New Roman" w:cs="Times New Roman"/>
          <w:color w:val="000000"/>
          <w:sz w:val="24"/>
          <w:szCs w:val="24"/>
        </w:rPr>
        <w:t xml:space="preserve">Ryc. 5. Obszary strategicznej interwencji - województwo mazowieckie </w:t>
      </w:r>
    </w:p>
    <w:bookmarkEnd w:id="38"/>
    <w:p w14:paraId="0FBAFE1B" w14:textId="77777777" w:rsidR="00636911" w:rsidRDefault="00EF1A17" w:rsidP="00636911">
      <w:pPr>
        <w:pStyle w:val="Akapitzlist"/>
        <w:autoSpaceDE w:val="0"/>
        <w:autoSpaceDN w:val="0"/>
        <w:adjustRightInd w:val="0"/>
        <w:spacing w:after="0" w:line="276" w:lineRule="auto"/>
        <w:ind w:left="426"/>
        <w:jc w:val="both"/>
        <w:rPr>
          <w:rFonts w:ascii="Times New Roman" w:hAnsi="Times New Roman" w:cs="Times New Roman"/>
          <w:color w:val="000000"/>
          <w:sz w:val="24"/>
          <w:szCs w:val="24"/>
        </w:rPr>
      </w:pPr>
      <w:r w:rsidRPr="00213798">
        <w:rPr>
          <w:rFonts w:ascii="Times New Roman" w:hAnsi="Times New Roman" w:cs="Times New Roman"/>
          <w:noProof/>
          <w:lang w:eastAsia="pl-PL"/>
        </w:rPr>
        <w:drawing>
          <wp:inline distT="0" distB="0" distL="0" distR="0" wp14:anchorId="0BBF6ABF" wp14:editId="0E442451">
            <wp:extent cx="5760720" cy="6797040"/>
            <wp:effectExtent l="0" t="0" r="0" b="381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6797040"/>
                    </a:xfrm>
                    <a:prstGeom prst="rect">
                      <a:avLst/>
                    </a:prstGeom>
                    <a:noFill/>
                    <a:ln>
                      <a:noFill/>
                    </a:ln>
                  </pic:spPr>
                </pic:pic>
              </a:graphicData>
            </a:graphic>
          </wp:inline>
        </w:drawing>
      </w:r>
    </w:p>
    <w:p w14:paraId="571AC4F7" w14:textId="77777777" w:rsidR="003B6DC7" w:rsidRDefault="003B6DC7" w:rsidP="00636911">
      <w:pPr>
        <w:pStyle w:val="Akapitzlist"/>
        <w:autoSpaceDE w:val="0"/>
        <w:autoSpaceDN w:val="0"/>
        <w:adjustRightInd w:val="0"/>
        <w:spacing w:after="0" w:line="276" w:lineRule="auto"/>
        <w:ind w:left="426"/>
        <w:jc w:val="both"/>
        <w:rPr>
          <w:rFonts w:ascii="Times New Roman" w:hAnsi="Times New Roman" w:cs="Times New Roman"/>
          <w:color w:val="000000"/>
          <w:sz w:val="24"/>
          <w:szCs w:val="24"/>
        </w:rPr>
      </w:pPr>
    </w:p>
    <w:p w14:paraId="3903182A" w14:textId="77777777" w:rsidR="003B6DC7" w:rsidRDefault="003B6DC7" w:rsidP="003B6DC7">
      <w:pPr>
        <w:autoSpaceDE w:val="0"/>
        <w:autoSpaceDN w:val="0"/>
        <w:adjustRightInd w:val="0"/>
        <w:spacing w:after="0"/>
        <w:ind w:firstLine="426"/>
        <w:jc w:val="both"/>
        <w:rPr>
          <w:rFonts w:ascii="Times New Roman" w:hAnsi="Times New Roman" w:cs="Times New Roman"/>
          <w:bCs/>
          <w:sz w:val="24"/>
          <w:szCs w:val="24"/>
        </w:rPr>
      </w:pPr>
      <w:r>
        <w:rPr>
          <w:rFonts w:ascii="Times New Roman" w:hAnsi="Times New Roman" w:cs="Times New Roman"/>
          <w:bCs/>
          <w:sz w:val="24"/>
          <w:szCs w:val="24"/>
        </w:rPr>
        <w:t xml:space="preserve">Źródło: </w:t>
      </w:r>
      <w:r w:rsidRPr="00213798">
        <w:rPr>
          <w:rFonts w:ascii="Times New Roman" w:hAnsi="Times New Roman" w:cs="Times New Roman"/>
          <w:bCs/>
          <w:sz w:val="24"/>
          <w:szCs w:val="24"/>
        </w:rPr>
        <w:t>Strategi</w:t>
      </w:r>
      <w:r>
        <w:rPr>
          <w:rFonts w:ascii="Times New Roman" w:hAnsi="Times New Roman" w:cs="Times New Roman"/>
          <w:bCs/>
          <w:sz w:val="24"/>
          <w:szCs w:val="24"/>
        </w:rPr>
        <w:t>a</w:t>
      </w:r>
      <w:r w:rsidRPr="00213798">
        <w:rPr>
          <w:rFonts w:ascii="Times New Roman" w:hAnsi="Times New Roman" w:cs="Times New Roman"/>
          <w:bCs/>
          <w:sz w:val="24"/>
          <w:szCs w:val="24"/>
        </w:rPr>
        <w:t xml:space="preserve"> rozwoju województwa mazowieckiego 2030+.</w:t>
      </w:r>
    </w:p>
    <w:p w14:paraId="0ECBC50E" w14:textId="77777777" w:rsidR="00466B30" w:rsidRDefault="00466B30" w:rsidP="00466B30">
      <w:pPr>
        <w:autoSpaceDE w:val="0"/>
        <w:autoSpaceDN w:val="0"/>
        <w:adjustRightInd w:val="0"/>
        <w:spacing w:after="0" w:line="276" w:lineRule="auto"/>
        <w:jc w:val="both"/>
        <w:rPr>
          <w:rFonts w:ascii="Times New Roman" w:hAnsi="Times New Roman" w:cs="Times New Roman"/>
          <w:color w:val="000000"/>
          <w:sz w:val="24"/>
          <w:szCs w:val="24"/>
        </w:rPr>
      </w:pPr>
    </w:p>
    <w:p w14:paraId="2E8928D6" w14:textId="77777777" w:rsidR="00466B30" w:rsidRDefault="00466B30" w:rsidP="00466B30">
      <w:pPr>
        <w:autoSpaceDE w:val="0"/>
        <w:autoSpaceDN w:val="0"/>
        <w:adjustRightInd w:val="0"/>
        <w:spacing w:after="0" w:line="276" w:lineRule="auto"/>
        <w:jc w:val="both"/>
        <w:rPr>
          <w:rFonts w:ascii="Times New Roman" w:hAnsi="Times New Roman" w:cs="Times New Roman"/>
          <w:color w:val="000000"/>
          <w:sz w:val="24"/>
          <w:szCs w:val="24"/>
        </w:rPr>
      </w:pPr>
    </w:p>
    <w:p w14:paraId="4586FB3B" w14:textId="77777777" w:rsidR="00466B30" w:rsidRDefault="00466B30" w:rsidP="00466B30">
      <w:pPr>
        <w:autoSpaceDE w:val="0"/>
        <w:autoSpaceDN w:val="0"/>
        <w:adjustRightInd w:val="0"/>
        <w:spacing w:after="0" w:line="276" w:lineRule="auto"/>
        <w:jc w:val="both"/>
        <w:rPr>
          <w:rFonts w:ascii="Times New Roman" w:hAnsi="Times New Roman" w:cs="Times New Roman"/>
          <w:color w:val="000000"/>
          <w:sz w:val="24"/>
          <w:szCs w:val="24"/>
        </w:rPr>
      </w:pPr>
    </w:p>
    <w:p w14:paraId="6731EFEB" w14:textId="5ED4B9E9" w:rsidR="00466B30" w:rsidRPr="00466B30" w:rsidRDefault="00466B30" w:rsidP="00466B30">
      <w:pPr>
        <w:autoSpaceDE w:val="0"/>
        <w:autoSpaceDN w:val="0"/>
        <w:adjustRightInd w:val="0"/>
        <w:spacing w:after="0" w:line="276" w:lineRule="auto"/>
        <w:jc w:val="both"/>
        <w:rPr>
          <w:rFonts w:ascii="Times New Roman" w:hAnsi="Times New Roman" w:cs="Times New Roman"/>
          <w:color w:val="000000"/>
          <w:sz w:val="24"/>
          <w:szCs w:val="24"/>
        </w:rPr>
        <w:sectPr w:rsidR="00466B30" w:rsidRPr="00466B30" w:rsidSect="00020C89">
          <w:pgSz w:w="11906" w:h="16838"/>
          <w:pgMar w:top="1417" w:right="1417" w:bottom="1417" w:left="1417" w:header="708" w:footer="708" w:gutter="0"/>
          <w:cols w:space="708"/>
          <w:titlePg/>
          <w:docGrid w:linePitch="360"/>
        </w:sectPr>
      </w:pPr>
      <w:r>
        <w:rPr>
          <w:rFonts w:ascii="Times New Roman" w:hAnsi="Times New Roman" w:cs="Times New Roman"/>
          <w:color w:val="000000"/>
          <w:sz w:val="24"/>
          <w:szCs w:val="24"/>
        </w:rPr>
        <w:t xml:space="preserve">W toku prac nad Strategia rozwoju  Miasta i Gminy Góra Kalwaria nie zdecydowano o wyznaczeniu  lokalnych OSI, natomiast wskazano jakie założenia i wytyczne z poziomu regionalnego na terenie gminy w związku z OSI regionalnymi powinny być realizowane. </w:t>
      </w:r>
    </w:p>
    <w:p w14:paraId="5C33AE3E" w14:textId="7F428EFA" w:rsidR="00161F03" w:rsidRPr="003B6DC7" w:rsidRDefault="00213798" w:rsidP="009A4B77">
      <w:pPr>
        <w:pStyle w:val="Nagwek1"/>
        <w:numPr>
          <w:ilvl w:val="0"/>
          <w:numId w:val="123"/>
        </w:numPr>
        <w:rPr>
          <w:rFonts w:ascii="Times New Roman" w:hAnsi="Times New Roman" w:cs="Times New Roman"/>
          <w:b/>
          <w:bCs/>
          <w:color w:val="0070C0"/>
          <w:sz w:val="26"/>
          <w:szCs w:val="26"/>
        </w:rPr>
      </w:pPr>
      <w:r w:rsidRPr="003B6DC7">
        <w:rPr>
          <w:rFonts w:ascii="Times New Roman" w:hAnsi="Times New Roman" w:cs="Times New Roman"/>
          <w:b/>
          <w:bCs/>
          <w:color w:val="0070C0"/>
          <w:sz w:val="26"/>
          <w:szCs w:val="26"/>
        </w:rPr>
        <w:lastRenderedPageBreak/>
        <w:t xml:space="preserve">Powiązania z dokumentami </w:t>
      </w:r>
      <w:r w:rsidR="00161F03" w:rsidRPr="003B6DC7">
        <w:rPr>
          <w:rFonts w:ascii="Times New Roman" w:hAnsi="Times New Roman" w:cs="Times New Roman"/>
          <w:b/>
          <w:bCs/>
          <w:color w:val="0070C0"/>
          <w:sz w:val="26"/>
          <w:szCs w:val="26"/>
        </w:rPr>
        <w:t>wyższego szczebla</w:t>
      </w:r>
    </w:p>
    <w:p w14:paraId="74AD0E6B" w14:textId="5EC328D7" w:rsidR="00EF1A17" w:rsidRPr="003B6DC7" w:rsidRDefault="00EF1A17" w:rsidP="00EF1A17">
      <w:pPr>
        <w:autoSpaceDE w:val="0"/>
        <w:autoSpaceDN w:val="0"/>
        <w:adjustRightInd w:val="0"/>
        <w:spacing w:after="0"/>
        <w:jc w:val="both"/>
        <w:rPr>
          <w:rFonts w:ascii="Times New Roman" w:hAnsi="Times New Roman" w:cs="Times New Roman"/>
          <w:b/>
          <w:bCs/>
          <w:color w:val="0070C0"/>
          <w:sz w:val="24"/>
          <w:szCs w:val="24"/>
        </w:rPr>
      </w:pPr>
    </w:p>
    <w:p w14:paraId="44A20589" w14:textId="18F98E46" w:rsidR="00C51C29" w:rsidRPr="00C51C29" w:rsidRDefault="00C51C29" w:rsidP="00C51C29">
      <w:pPr>
        <w:pStyle w:val="NormalnyWeb"/>
        <w:spacing w:before="0" w:beforeAutospacing="0" w:after="0" w:afterAutospacing="0" w:line="276" w:lineRule="auto"/>
        <w:jc w:val="both"/>
      </w:pPr>
      <w:r w:rsidRPr="00C51C29">
        <w:t>Ogólne wytyczne do uwzględnianie w dokumentach strategicznych, różnych szczebli także lokalnych, wynikają z  5 głównych celów Polityki spójności na lata  2021–2027, które dotyczą:</w:t>
      </w:r>
    </w:p>
    <w:p w14:paraId="16BB354F" w14:textId="77777777" w:rsidR="00C51C29" w:rsidRPr="00C51C29" w:rsidRDefault="00C51C29">
      <w:pPr>
        <w:pStyle w:val="NormalnyWeb"/>
        <w:numPr>
          <w:ilvl w:val="0"/>
          <w:numId w:val="104"/>
        </w:numPr>
        <w:spacing w:before="0" w:beforeAutospacing="0" w:after="0" w:afterAutospacing="0" w:line="276" w:lineRule="auto"/>
        <w:jc w:val="both"/>
      </w:pPr>
      <w:r w:rsidRPr="00C51C29">
        <w:rPr>
          <w:rStyle w:val="Pogrubienie"/>
        </w:rPr>
        <w:t xml:space="preserve">bardziej inteligentnej Europy </w:t>
      </w:r>
      <w:r w:rsidRPr="00C51C29">
        <w:t xml:space="preserve"> (przez innowacje, cyfryzację, transformację gospodarczą oraz wsparcie dla małych i średnich przedsiębiorstw);  </w:t>
      </w:r>
    </w:p>
    <w:p w14:paraId="26F8D7B1" w14:textId="77777777" w:rsidR="00C51C29" w:rsidRPr="00C51C29" w:rsidRDefault="00C51C29">
      <w:pPr>
        <w:pStyle w:val="NormalnyWeb"/>
        <w:numPr>
          <w:ilvl w:val="0"/>
          <w:numId w:val="104"/>
        </w:numPr>
        <w:spacing w:before="0" w:beforeAutospacing="0" w:after="0" w:afterAutospacing="0" w:line="276" w:lineRule="auto"/>
        <w:jc w:val="both"/>
      </w:pPr>
      <w:r w:rsidRPr="00C51C29">
        <w:rPr>
          <w:rStyle w:val="Pogrubienie"/>
        </w:rPr>
        <w:t>bardziej przyjaznej dla środowiska bezemisyjnej Europy</w:t>
      </w:r>
      <w:r w:rsidRPr="00C51C29">
        <w:t xml:space="preserve"> (wdrażającej porozumienie paryskie i inwestującej w transformację sektora energetycznego, w odnawialne źródła energii oraz w walkę ze zmianami klimatu);  </w:t>
      </w:r>
    </w:p>
    <w:p w14:paraId="3377596C" w14:textId="77777777" w:rsidR="00C51C29" w:rsidRPr="00C51C29" w:rsidRDefault="00C51C29">
      <w:pPr>
        <w:pStyle w:val="NormalnyWeb"/>
        <w:numPr>
          <w:ilvl w:val="0"/>
          <w:numId w:val="104"/>
        </w:numPr>
        <w:spacing w:before="0" w:beforeAutospacing="0" w:after="0" w:afterAutospacing="0" w:line="276" w:lineRule="auto"/>
        <w:jc w:val="both"/>
      </w:pPr>
      <w:r w:rsidRPr="00C51C29">
        <w:rPr>
          <w:rStyle w:val="Pogrubienie"/>
        </w:rPr>
        <w:t>lepiej połączonej Europy</w:t>
      </w:r>
      <w:r w:rsidRPr="00C51C29">
        <w:t xml:space="preserve"> (ze strategiczną infrastrukturą transportową i sieciami cyfrowymi);  </w:t>
      </w:r>
    </w:p>
    <w:p w14:paraId="04AE5FF3" w14:textId="77777777" w:rsidR="00C51C29" w:rsidRPr="00C51C29" w:rsidRDefault="00C51C29">
      <w:pPr>
        <w:pStyle w:val="NormalnyWeb"/>
        <w:numPr>
          <w:ilvl w:val="0"/>
          <w:numId w:val="104"/>
        </w:numPr>
        <w:spacing w:before="0" w:beforeAutospacing="0" w:after="0" w:afterAutospacing="0" w:line="276" w:lineRule="auto"/>
        <w:jc w:val="both"/>
      </w:pPr>
      <w:r w:rsidRPr="00C51C29">
        <w:rPr>
          <w:rStyle w:val="Pogrubienie"/>
        </w:rPr>
        <w:t>Europy o silniejszym wymiarze społecznym</w:t>
      </w:r>
      <w:r w:rsidRPr="00C51C29">
        <w:t xml:space="preserve"> (inwestującej w wysokiej jakości zatrudnienie, edukację, umiejętności, integrację społeczną i równy dostęp do opieki zdrowotnej);</w:t>
      </w:r>
    </w:p>
    <w:p w14:paraId="30A3AD58" w14:textId="77777777" w:rsidR="00C51C29" w:rsidRPr="00C51C29" w:rsidRDefault="00C51C29">
      <w:pPr>
        <w:pStyle w:val="NormalnyWeb"/>
        <w:numPr>
          <w:ilvl w:val="0"/>
          <w:numId w:val="104"/>
        </w:numPr>
        <w:spacing w:before="0" w:beforeAutospacing="0" w:after="0" w:afterAutospacing="0" w:line="276" w:lineRule="auto"/>
        <w:jc w:val="both"/>
      </w:pPr>
      <w:r w:rsidRPr="00C51C29">
        <w:rPr>
          <w:rStyle w:val="Pogrubienie"/>
        </w:rPr>
        <w:t>Europy bliżej obywateli</w:t>
      </w:r>
      <w:r w:rsidRPr="00C51C29">
        <w:t xml:space="preserve"> przez wspieranie oddolnych strategii rozwoju i zrównoważonego rozwoju obszarów miejskich w całej UE.</w:t>
      </w:r>
    </w:p>
    <w:p w14:paraId="2CAB05AB" w14:textId="1F9D3FC9" w:rsidR="00161F03" w:rsidRPr="00C51C29" w:rsidRDefault="00161F03" w:rsidP="00161F03">
      <w:pPr>
        <w:jc w:val="both"/>
        <w:rPr>
          <w:rFonts w:ascii="Times New Roman" w:hAnsi="Times New Roman" w:cs="Times New Roman"/>
          <w:b/>
          <w:bCs/>
          <w:color w:val="C00000"/>
          <w:sz w:val="24"/>
          <w:szCs w:val="24"/>
        </w:rPr>
      </w:pPr>
      <w:r w:rsidRPr="00C51C29">
        <w:rPr>
          <w:rFonts w:ascii="Times New Roman" w:hAnsi="Times New Roman" w:cs="Times New Roman"/>
          <w:sz w:val="24"/>
          <w:szCs w:val="24"/>
        </w:rPr>
        <w:t xml:space="preserve">Dla opracowania strategii lokalnych kluczowe znaczenie </w:t>
      </w:r>
      <w:r w:rsidR="00466B30">
        <w:rPr>
          <w:rFonts w:ascii="Times New Roman" w:hAnsi="Times New Roman" w:cs="Times New Roman"/>
          <w:sz w:val="24"/>
          <w:szCs w:val="24"/>
        </w:rPr>
        <w:t xml:space="preserve">z poziomu krajowego </w:t>
      </w:r>
      <w:r w:rsidRPr="00C51C29">
        <w:rPr>
          <w:rFonts w:ascii="Times New Roman" w:hAnsi="Times New Roman" w:cs="Times New Roman"/>
          <w:sz w:val="24"/>
          <w:szCs w:val="24"/>
        </w:rPr>
        <w:t xml:space="preserve">mają: Strategia na Rzecz Odpowiedzialnego Rozwoju do roku 2020 (SOR) (z perspektywą do 2030 roku)  </w:t>
      </w:r>
      <w:r w:rsidRPr="00C51C29">
        <w:rPr>
          <w:rFonts w:ascii="Times New Roman" w:hAnsi="Times New Roman" w:cs="Times New Roman"/>
          <w:iCs/>
          <w:sz w:val="24"/>
          <w:szCs w:val="24"/>
        </w:rPr>
        <w:t xml:space="preserve">oraz  </w:t>
      </w:r>
      <w:r w:rsidRPr="00C51C29">
        <w:rPr>
          <w:rFonts w:ascii="Times New Roman" w:hAnsi="Times New Roman" w:cs="Times New Roman"/>
          <w:i/>
          <w:iCs/>
          <w:sz w:val="24"/>
          <w:szCs w:val="24"/>
        </w:rPr>
        <w:t>Krajowa Strategia Rozwoju Regionalnego 2030</w:t>
      </w:r>
      <w:r w:rsidRPr="00C51C29">
        <w:rPr>
          <w:rFonts w:ascii="Times New Roman" w:hAnsi="Times New Roman" w:cs="Times New Roman"/>
          <w:iCs/>
          <w:sz w:val="24"/>
          <w:szCs w:val="24"/>
        </w:rPr>
        <w:t>.</w:t>
      </w:r>
    </w:p>
    <w:p w14:paraId="38053EBF" w14:textId="40241730" w:rsidR="00161F03" w:rsidRPr="00161F03" w:rsidRDefault="00161F03" w:rsidP="00466B30">
      <w:pPr>
        <w:spacing w:after="0"/>
        <w:jc w:val="both"/>
        <w:rPr>
          <w:rFonts w:ascii="Times New Roman" w:hAnsi="Times New Roman" w:cs="Times New Roman"/>
          <w:sz w:val="24"/>
          <w:szCs w:val="24"/>
        </w:rPr>
      </w:pPr>
      <w:r w:rsidRPr="00C51C29">
        <w:rPr>
          <w:rFonts w:ascii="Times New Roman" w:hAnsi="Times New Roman" w:cs="Times New Roman"/>
          <w:sz w:val="24"/>
          <w:szCs w:val="24"/>
        </w:rPr>
        <w:t>Celem generalnym SOR jest wdrożenie nowych inteligentnych rozwiązań ze szczególnym uwzględnieniem obszarów transportu, cyfryzacji, kapitału społecznego</w:t>
      </w:r>
      <w:r w:rsidRPr="00161F03">
        <w:rPr>
          <w:rFonts w:ascii="Times New Roman" w:hAnsi="Times New Roman" w:cs="Times New Roman"/>
          <w:sz w:val="24"/>
          <w:szCs w:val="24"/>
        </w:rPr>
        <w:t>, bezpieczeństwa narodowego, energii oraz środowiska, dzięki współpracy podmiotów publicznych oraz świata nauki i biznesu.</w:t>
      </w:r>
      <w:r w:rsidR="00466B30">
        <w:rPr>
          <w:rFonts w:ascii="Times New Roman" w:hAnsi="Times New Roman" w:cs="Times New Roman"/>
          <w:sz w:val="24"/>
          <w:szCs w:val="24"/>
        </w:rPr>
        <w:t xml:space="preserve"> </w:t>
      </w:r>
      <w:r w:rsidRPr="00161F03">
        <w:rPr>
          <w:rFonts w:ascii="Times New Roman" w:hAnsi="Times New Roman" w:cs="Times New Roman"/>
          <w:sz w:val="24"/>
          <w:szCs w:val="24"/>
        </w:rPr>
        <w:t>SOR stanowi plan realizacji kluczowych działań gospodarczych mających na celu unikniecie pięciu kluczowych pułapek rozwojowych tj.: braku równowagi, średniego dochodu, pułapki demograficznej, pułapki przeciętnego produktu oraz słabości instytucjonalnej. W Strategii na Rzecz Odpowiedzialnego Rozwoju zostały sformułowane następujące cele szczegółowe:</w:t>
      </w:r>
    </w:p>
    <w:p w14:paraId="3C45061F" w14:textId="77777777" w:rsidR="00161F03" w:rsidRPr="00161F03" w:rsidRDefault="00161F03" w:rsidP="00466B30">
      <w:pPr>
        <w:numPr>
          <w:ilvl w:val="0"/>
          <w:numId w:val="103"/>
        </w:numPr>
        <w:spacing w:after="0"/>
        <w:jc w:val="both"/>
        <w:rPr>
          <w:rFonts w:ascii="Times New Roman" w:hAnsi="Times New Roman" w:cs="Times New Roman"/>
          <w:sz w:val="24"/>
          <w:szCs w:val="24"/>
        </w:rPr>
      </w:pPr>
      <w:r w:rsidRPr="00161F03">
        <w:rPr>
          <w:rFonts w:ascii="Times New Roman" w:hAnsi="Times New Roman" w:cs="Times New Roman"/>
          <w:sz w:val="24"/>
          <w:szCs w:val="24"/>
        </w:rPr>
        <w:t xml:space="preserve">trwały wzrost gospodarczy oparty silniej o wiedzę, dane i doskonałość organizacyjną; </w:t>
      </w:r>
    </w:p>
    <w:p w14:paraId="3F0899D8" w14:textId="77777777" w:rsidR="00161F03" w:rsidRPr="00161F03" w:rsidRDefault="00161F03" w:rsidP="00466B30">
      <w:pPr>
        <w:numPr>
          <w:ilvl w:val="0"/>
          <w:numId w:val="103"/>
        </w:numPr>
        <w:spacing w:after="0"/>
        <w:jc w:val="both"/>
        <w:rPr>
          <w:rFonts w:ascii="Times New Roman" w:hAnsi="Times New Roman" w:cs="Times New Roman"/>
          <w:sz w:val="24"/>
          <w:szCs w:val="24"/>
        </w:rPr>
      </w:pPr>
      <w:r w:rsidRPr="00161F03">
        <w:rPr>
          <w:rFonts w:ascii="Times New Roman" w:hAnsi="Times New Roman" w:cs="Times New Roman"/>
          <w:sz w:val="24"/>
          <w:szCs w:val="24"/>
        </w:rPr>
        <w:t>społecznie wrażliwy i terytorialnie zrównoważony rozwój (Obszar Spójności społecznej, Rozwój zrównoważony terytorialnie);</w:t>
      </w:r>
    </w:p>
    <w:p w14:paraId="4802D15B" w14:textId="77777777" w:rsidR="00161F03" w:rsidRPr="00161F03" w:rsidRDefault="00161F03" w:rsidP="00466B30">
      <w:pPr>
        <w:numPr>
          <w:ilvl w:val="0"/>
          <w:numId w:val="103"/>
        </w:numPr>
        <w:spacing w:after="0"/>
        <w:jc w:val="both"/>
        <w:rPr>
          <w:rFonts w:ascii="Times New Roman" w:hAnsi="Times New Roman" w:cs="Times New Roman"/>
          <w:sz w:val="24"/>
          <w:szCs w:val="24"/>
        </w:rPr>
      </w:pPr>
      <w:r w:rsidRPr="00161F03">
        <w:rPr>
          <w:rFonts w:ascii="Times New Roman" w:hAnsi="Times New Roman" w:cs="Times New Roman"/>
          <w:sz w:val="24"/>
          <w:szCs w:val="24"/>
        </w:rPr>
        <w:t>skuteczne państwo oraz instytucje służące wzrostowi oraz włączeniu społecznemu i gospodarczemu (Obszar Prawa w służbie obywatelom i gospodarce, Instytucji prorozwojowych i strategicznego zarządzania rozwojem, E-państwa, Finansów publicznych oraz Efektywności wykorzystania środków Unii Europejskiej).</w:t>
      </w:r>
    </w:p>
    <w:p w14:paraId="6D6668FF" w14:textId="77777777" w:rsidR="00161F03" w:rsidRPr="00161F03" w:rsidRDefault="00161F03" w:rsidP="00161F03">
      <w:pPr>
        <w:jc w:val="both"/>
        <w:rPr>
          <w:rFonts w:ascii="Times New Roman" w:hAnsi="Times New Roman" w:cs="Times New Roman"/>
          <w:sz w:val="24"/>
          <w:szCs w:val="24"/>
        </w:rPr>
      </w:pPr>
      <w:r w:rsidRPr="00161F03">
        <w:rPr>
          <w:rFonts w:ascii="Times New Roman" w:hAnsi="Times New Roman" w:cs="Times New Roman"/>
          <w:sz w:val="24"/>
          <w:szCs w:val="24"/>
        </w:rPr>
        <w:t xml:space="preserve">Zapisy SOR są implementowane do dziewięciu zintegrowanych strategii, w tym do </w:t>
      </w:r>
      <w:r w:rsidRPr="00161F03">
        <w:rPr>
          <w:rFonts w:ascii="Times New Roman" w:hAnsi="Times New Roman" w:cs="Times New Roman"/>
          <w:i/>
          <w:iCs/>
          <w:sz w:val="24"/>
          <w:szCs w:val="24"/>
        </w:rPr>
        <w:t xml:space="preserve">Krajowej Strategii Rozwoju Regionalnego 2030 (KSRR). </w:t>
      </w:r>
      <w:r w:rsidRPr="00161F03">
        <w:rPr>
          <w:rFonts w:ascii="Times New Roman" w:hAnsi="Times New Roman" w:cs="Times New Roman"/>
          <w:sz w:val="24"/>
          <w:szCs w:val="24"/>
        </w:rPr>
        <w:t xml:space="preserve"> W KSRR 2030 wskazano nowy model rozwoju regionalnego Polski, zmierzający do osiągnięcia stanu rozwoju społecznie i terytorialnie zrównoważonego. Układ celów KSRR zaprezentowano na poniższym schemacie. </w:t>
      </w:r>
    </w:p>
    <w:p w14:paraId="06B9A520" w14:textId="18D7B2D1" w:rsidR="00161F03" w:rsidRPr="00C51C29" w:rsidRDefault="00161F03" w:rsidP="00C51C29">
      <w:pPr>
        <w:jc w:val="both"/>
        <w:rPr>
          <w:rFonts w:ascii="Times New Roman" w:hAnsi="Times New Roman" w:cs="Times New Roman"/>
          <w:sz w:val="24"/>
          <w:szCs w:val="24"/>
        </w:rPr>
      </w:pPr>
      <w:r w:rsidRPr="00161F03">
        <w:rPr>
          <w:rFonts w:ascii="Times New Roman" w:hAnsi="Times New Roman" w:cs="Times New Roman"/>
          <w:sz w:val="24"/>
          <w:szCs w:val="24"/>
        </w:rPr>
        <w:t xml:space="preserve">Podejście do rozwoju zaprezentowane w KSRR 2030 umożliwia wykorzystywane endogenicznych zasobów i potencjałów wszystkich regionów. Jednym z głównych celów KSRR 2030 jest wspieranie konkurencyjności regionów i kontynuacja działań zmierzających do podniesienia jakości kapitału ludzkiego i społecznego oraz rozwoju przedsiębiorczości i innowacyjności. Co istotne z punktu widzenia Strategii lokalnych, w KSRR2030 zakłada się </w:t>
      </w:r>
      <w:r w:rsidRPr="00161F03">
        <w:rPr>
          <w:rFonts w:ascii="Times New Roman" w:hAnsi="Times New Roman" w:cs="Times New Roman"/>
          <w:sz w:val="24"/>
          <w:szCs w:val="24"/>
        </w:rPr>
        <w:lastRenderedPageBreak/>
        <w:t>zwiększenie roli i odpowiedzialności samorządów lokalnych jako podmiotów decydujących o polityce rozwoju w skali lokalnej</w:t>
      </w:r>
      <w:r w:rsidR="00466B30">
        <w:rPr>
          <w:rFonts w:ascii="Times New Roman" w:hAnsi="Times New Roman" w:cs="Times New Roman"/>
          <w:sz w:val="24"/>
          <w:szCs w:val="24"/>
        </w:rPr>
        <w:t xml:space="preserve"> (cel 3 KSRR)</w:t>
      </w:r>
      <w:r w:rsidRPr="00161F03">
        <w:rPr>
          <w:rFonts w:ascii="Times New Roman" w:hAnsi="Times New Roman" w:cs="Times New Roman"/>
          <w:sz w:val="24"/>
          <w:szCs w:val="24"/>
        </w:rPr>
        <w:t>.</w:t>
      </w:r>
    </w:p>
    <w:p w14:paraId="1922D7FC" w14:textId="212146DE" w:rsidR="00161F03" w:rsidRPr="00213798" w:rsidRDefault="00161F03" w:rsidP="00EF1A17">
      <w:pPr>
        <w:autoSpaceDE w:val="0"/>
        <w:autoSpaceDN w:val="0"/>
        <w:adjustRightInd w:val="0"/>
        <w:spacing w:after="0"/>
        <w:jc w:val="both"/>
        <w:rPr>
          <w:rFonts w:ascii="Times New Roman" w:hAnsi="Times New Roman" w:cs="Times New Roman"/>
          <w:color w:val="000000"/>
          <w:sz w:val="24"/>
          <w:szCs w:val="24"/>
        </w:rPr>
      </w:pPr>
      <w:r w:rsidRPr="00EB2B23">
        <w:rPr>
          <w:noProof/>
        </w:rPr>
        <w:drawing>
          <wp:inline distT="0" distB="0" distL="0" distR="0" wp14:anchorId="14A8684D" wp14:editId="26E5F3B5">
            <wp:extent cx="5759450" cy="4488460"/>
            <wp:effectExtent l="0" t="0" r="0" b="7620"/>
            <wp:docPr id="54" name="Obraz 54" descr="C:\Users\legut\AppData\Local\Microsoft\Windows\INetCache\Content.MSO\D71E9D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legut\AppData\Local\Microsoft\Windows\INetCache\Content.MSO\D71E9D91.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4488460"/>
                    </a:xfrm>
                    <a:prstGeom prst="rect">
                      <a:avLst/>
                    </a:prstGeom>
                    <a:noFill/>
                    <a:ln>
                      <a:noFill/>
                    </a:ln>
                  </pic:spPr>
                </pic:pic>
              </a:graphicData>
            </a:graphic>
          </wp:inline>
        </w:drawing>
      </w:r>
    </w:p>
    <w:p w14:paraId="1DB55CCD" w14:textId="77777777" w:rsidR="00C51C29" w:rsidRDefault="00C51C29" w:rsidP="00EF1A17">
      <w:pPr>
        <w:pStyle w:val="Default"/>
        <w:spacing w:line="276" w:lineRule="auto"/>
        <w:ind w:firstLine="708"/>
        <w:jc w:val="both"/>
        <w:rPr>
          <w:rFonts w:ascii="Times New Roman" w:hAnsi="Times New Roman" w:cs="Times New Roman"/>
        </w:rPr>
      </w:pPr>
    </w:p>
    <w:p w14:paraId="4B4972FF" w14:textId="77777777" w:rsidR="00C51C29" w:rsidRDefault="00C51C29" w:rsidP="00EF1A17">
      <w:pPr>
        <w:pStyle w:val="Default"/>
        <w:spacing w:line="276" w:lineRule="auto"/>
        <w:ind w:firstLine="708"/>
        <w:jc w:val="both"/>
        <w:rPr>
          <w:rFonts w:ascii="Times New Roman" w:hAnsi="Times New Roman" w:cs="Times New Roman"/>
        </w:rPr>
      </w:pPr>
    </w:p>
    <w:p w14:paraId="15616B11" w14:textId="31907F2C" w:rsidR="00EF1A17" w:rsidRPr="00466B30" w:rsidRDefault="00466B30" w:rsidP="00466B30">
      <w:pPr>
        <w:pStyle w:val="Default"/>
        <w:spacing w:line="276" w:lineRule="auto"/>
        <w:ind w:firstLine="708"/>
        <w:jc w:val="both"/>
        <w:rPr>
          <w:rFonts w:ascii="Times New Roman" w:hAnsi="Times New Roman" w:cs="Times New Roman"/>
        </w:rPr>
      </w:pPr>
      <w:r>
        <w:rPr>
          <w:rFonts w:ascii="Times New Roman" w:hAnsi="Times New Roman" w:cs="Times New Roman"/>
        </w:rPr>
        <w:t xml:space="preserve">Wytyczne do uwzględniania w strategiach lokalnych wynikają także ze strategii regionalnych. </w:t>
      </w:r>
      <w:r w:rsidR="00EF1A17" w:rsidRPr="00213798">
        <w:rPr>
          <w:rFonts w:ascii="Times New Roman" w:hAnsi="Times New Roman" w:cs="Times New Roman"/>
        </w:rPr>
        <w:t>Nowa, obowiązująca obecnie</w:t>
      </w:r>
      <w:r>
        <w:rPr>
          <w:rFonts w:ascii="Times New Roman" w:hAnsi="Times New Roman" w:cs="Times New Roman"/>
        </w:rPr>
        <w:t xml:space="preserve"> strategia regionalna, przyjęta na </w:t>
      </w:r>
      <w:r w:rsidRPr="00466B30">
        <w:rPr>
          <w:rFonts w:ascii="Times New Roman" w:hAnsi="Times New Roman" w:cs="Times New Roman"/>
        </w:rPr>
        <w:t xml:space="preserve">podstawie </w:t>
      </w:r>
      <w:r w:rsidRPr="00466B30">
        <w:rPr>
          <w:rFonts w:ascii="Times New Roman" w:hAnsi="Times New Roman" w:cs="Times New Roman"/>
          <w:bCs/>
        </w:rPr>
        <w:t>Uchwały nr 72/22 Sejmiku Województwa Mazowieckiego z dnia 24 maja 2022 r. w sprawie Strategii rozwoju województwa mazowieckiego 2030+</w:t>
      </w:r>
      <w:r>
        <w:rPr>
          <w:rFonts w:ascii="Times New Roman" w:hAnsi="Times New Roman" w:cs="Times New Roman"/>
        </w:rPr>
        <w:t xml:space="preserve">, </w:t>
      </w:r>
      <w:r w:rsidR="00EF1A17" w:rsidRPr="00213798">
        <w:rPr>
          <w:rFonts w:ascii="Times New Roman" w:hAnsi="Times New Roman" w:cs="Times New Roman"/>
          <w:bCs/>
        </w:rPr>
        <w:t xml:space="preserve">została przygotowana zgodnie z wymogami </w:t>
      </w:r>
      <w:r w:rsidR="00EF1A17" w:rsidRPr="00213798">
        <w:rPr>
          <w:rFonts w:ascii="Times New Roman" w:hAnsi="Times New Roman" w:cs="Times New Roman"/>
        </w:rPr>
        <w:t xml:space="preserve"> ustawy z dnia 6 grudnia 2006 r. o zasadach prowadzenia polityki rozwoju (Dz. U. z 2021 r. poz. 1057) oraz ustawy z dnia 15 lipca 2020 r. o zmianie ustawy o zasadach prowadzenia polityki rozwoju oraz niektórych innych ustaw (Dz. U. poz. 1378). W szczególności nowa </w:t>
      </w:r>
      <w:r w:rsidR="00EF1A17" w:rsidRPr="00213798">
        <w:rPr>
          <w:rFonts w:ascii="Times New Roman" w:hAnsi="Times New Roman" w:cs="Times New Roman"/>
          <w:bCs/>
        </w:rPr>
        <w:t>Strategia rozwoju województwa mazowieckiego 2030+ zawiera część określającą strukturę funkcjonalno</w:t>
      </w:r>
      <w:r w:rsidR="00C51C29">
        <w:rPr>
          <w:rFonts w:ascii="Times New Roman" w:hAnsi="Times New Roman" w:cs="Times New Roman"/>
          <w:bCs/>
        </w:rPr>
        <w:t>-</w:t>
      </w:r>
      <w:r w:rsidR="00EF1A17" w:rsidRPr="00213798">
        <w:rPr>
          <w:rFonts w:ascii="Times New Roman" w:hAnsi="Times New Roman" w:cs="Times New Roman"/>
          <w:bCs/>
        </w:rPr>
        <w:t xml:space="preserve">przestrzenną województwa mazowieckiego. Jest to dokument nowej generacji – zakresem ujmowanej problematyki analogiczny do nowej strategii gminy Góra Kalwaria. W tym nowym rozwiązaniu formalno-prawnymi występuje nadrzędny status strategii na innymi dokumentami szczebla wojewódzkiego, w tym nad Planem zagospodarowania przestrzennego województwa mazowieckiego, który był przyjętego w 2018 r. W szczególności zatem przyjmuje się, iż wykazana zgodność przedmiotowej strategii gminy Góra Kalwaria z zapisami Strategii rozwoju województwa mazowieckiego 2030+ oznacza zgodność z innymi dokumentami planistycznymi </w:t>
      </w:r>
      <w:r w:rsidR="00EF1A17" w:rsidRPr="00624316">
        <w:rPr>
          <w:rFonts w:ascii="Times New Roman" w:hAnsi="Times New Roman" w:cs="Times New Roman"/>
          <w:bCs/>
        </w:rPr>
        <w:t>szczebla wojewódzkiego, w tym z ww. Planem zagospodarowania przestrzennego województwa mazowieckiego z 2018 r.</w:t>
      </w:r>
    </w:p>
    <w:p w14:paraId="370C3B8B" w14:textId="2B78C880" w:rsidR="00EF1A17" w:rsidRPr="00F9788E" w:rsidRDefault="00EF1A17" w:rsidP="00F9788E">
      <w:pPr>
        <w:spacing w:line="276" w:lineRule="auto"/>
        <w:jc w:val="both"/>
        <w:rPr>
          <w:rFonts w:ascii="Times New Roman" w:hAnsi="Times New Roman" w:cs="Times New Roman"/>
          <w:color w:val="000000"/>
          <w:sz w:val="24"/>
          <w:szCs w:val="24"/>
        </w:rPr>
      </w:pPr>
      <w:r w:rsidRPr="00624316">
        <w:rPr>
          <w:rFonts w:ascii="Times New Roman" w:hAnsi="Times New Roman" w:cs="Times New Roman"/>
          <w:bCs/>
          <w:sz w:val="24"/>
          <w:szCs w:val="24"/>
        </w:rPr>
        <w:lastRenderedPageBreak/>
        <w:t xml:space="preserve">Poza przedstawionym </w:t>
      </w:r>
      <w:r w:rsidR="000915EA">
        <w:rPr>
          <w:rFonts w:ascii="Times New Roman" w:hAnsi="Times New Roman" w:cs="Times New Roman"/>
          <w:bCs/>
          <w:sz w:val="24"/>
          <w:szCs w:val="24"/>
        </w:rPr>
        <w:t>uprzednio</w:t>
      </w:r>
      <w:r w:rsidRPr="00624316">
        <w:rPr>
          <w:rFonts w:ascii="Times New Roman" w:hAnsi="Times New Roman" w:cs="Times New Roman"/>
          <w:bCs/>
          <w:sz w:val="24"/>
          <w:szCs w:val="24"/>
        </w:rPr>
        <w:t xml:space="preserve"> układem modelu struktury funkcjonalno-przestrzennej podstawowe powiązania Strategii gminy Góra Kalwaria z rozstrzygnięciami Strategii rozwoju województwa mazowieckiego 2030+ dotyczą jeszcze 3 kluczowych sfer:</w:t>
      </w:r>
      <w:r w:rsidR="000915EA">
        <w:rPr>
          <w:rFonts w:ascii="Times New Roman" w:hAnsi="Times New Roman" w:cs="Times New Roman"/>
          <w:bCs/>
          <w:sz w:val="24"/>
          <w:szCs w:val="24"/>
        </w:rPr>
        <w:t xml:space="preserve"> </w:t>
      </w:r>
      <w:r w:rsidRPr="00624316">
        <w:rPr>
          <w:rFonts w:ascii="Times New Roman" w:hAnsi="Times New Roman" w:cs="Times New Roman"/>
          <w:bCs/>
          <w:sz w:val="24"/>
          <w:szCs w:val="24"/>
        </w:rPr>
        <w:t>celów rozwojowych województwa mazowieckiego, kierunków działań rozwojowych do 2030 r. oraz Obszarów Strategicznej Interwencji.</w:t>
      </w:r>
      <w:r w:rsidR="00F9788E">
        <w:rPr>
          <w:rFonts w:ascii="Times New Roman" w:hAnsi="Times New Roman" w:cs="Times New Roman"/>
          <w:color w:val="000000"/>
          <w:sz w:val="24"/>
          <w:szCs w:val="24"/>
        </w:rPr>
        <w:t xml:space="preserve"> </w:t>
      </w:r>
      <w:r w:rsidRPr="00213798">
        <w:rPr>
          <w:rFonts w:ascii="Times New Roman" w:hAnsi="Times New Roman" w:cs="Times New Roman"/>
          <w:color w:val="000000"/>
          <w:sz w:val="24"/>
          <w:szCs w:val="24"/>
        </w:rPr>
        <w:t xml:space="preserve">Układ celów </w:t>
      </w:r>
      <w:r w:rsidRPr="00213798">
        <w:rPr>
          <w:rFonts w:ascii="Times New Roman" w:hAnsi="Times New Roman" w:cs="Times New Roman"/>
          <w:bCs/>
          <w:sz w:val="24"/>
          <w:szCs w:val="24"/>
        </w:rPr>
        <w:t>Strategii rozwoju województwa mazowieckiego 2030+</w:t>
      </w:r>
      <w:r w:rsidRPr="00213798">
        <w:rPr>
          <w:rFonts w:ascii="Times New Roman" w:hAnsi="Times New Roman" w:cs="Times New Roman"/>
          <w:i/>
          <w:iCs/>
          <w:color w:val="000000"/>
          <w:sz w:val="24"/>
          <w:szCs w:val="24"/>
        </w:rPr>
        <w:t xml:space="preserve"> </w:t>
      </w:r>
      <w:r w:rsidRPr="00213798">
        <w:rPr>
          <w:rFonts w:ascii="Times New Roman" w:hAnsi="Times New Roman" w:cs="Times New Roman"/>
          <w:color w:val="000000"/>
          <w:sz w:val="24"/>
          <w:szCs w:val="24"/>
        </w:rPr>
        <w:t xml:space="preserve">został podporządkowany długookresowym priorytetom rozwoju regionalnego. </w:t>
      </w:r>
      <w:r w:rsidRPr="00213798">
        <w:rPr>
          <w:rFonts w:ascii="Times New Roman" w:hAnsi="Times New Roman" w:cs="Times New Roman"/>
          <w:sz w:val="24"/>
          <w:szCs w:val="24"/>
        </w:rPr>
        <w:t>Za cel główny przyjęto „Zapewnienie wysokiej jakości życia poprzez trwały i zrównowa</w:t>
      </w:r>
      <w:r w:rsidRPr="00213798">
        <w:rPr>
          <w:rFonts w:ascii="Times New Roman" w:hAnsi="Times New Roman" w:cs="Times New Roman"/>
          <w:sz w:val="24"/>
          <w:szCs w:val="24"/>
        </w:rPr>
        <w:softHyphen/>
        <w:t xml:space="preserve">żony przestrzennie rozwój województwa, służący wzrostowi znaczenia regionu w Europie i na świecie, przy poszanowaniu zasobów środowiska”. Jego realizacja odbywać się będzie poprzez pięć celów strategicznych </w:t>
      </w:r>
      <w:r w:rsidRPr="007969E0">
        <w:rPr>
          <w:rFonts w:ascii="Times New Roman" w:hAnsi="Times New Roman" w:cs="Times New Roman"/>
          <w:sz w:val="24"/>
          <w:szCs w:val="24"/>
        </w:rPr>
        <w:t>– por</w:t>
      </w:r>
      <w:r w:rsidR="007969E0" w:rsidRPr="007969E0">
        <w:rPr>
          <w:rFonts w:ascii="Times New Roman" w:hAnsi="Times New Roman" w:cs="Times New Roman"/>
          <w:sz w:val="24"/>
          <w:szCs w:val="24"/>
        </w:rPr>
        <w:t>ównaj poniższy schemat.</w:t>
      </w:r>
      <w:r w:rsidR="007969E0">
        <w:rPr>
          <w:rFonts w:ascii="Times New Roman" w:hAnsi="Times New Roman" w:cs="Times New Roman"/>
          <w:sz w:val="24"/>
          <w:szCs w:val="24"/>
        </w:rPr>
        <w:t xml:space="preserve"> </w:t>
      </w:r>
      <w:r w:rsidRPr="00213798">
        <w:rPr>
          <w:rFonts w:ascii="Times New Roman" w:hAnsi="Times New Roman" w:cs="Times New Roman"/>
          <w:sz w:val="24"/>
          <w:szCs w:val="24"/>
        </w:rPr>
        <w:t xml:space="preserve">Do każdego celu przypisane zostały kierunki działań, z zaznaczeniem kierunków priorytetowych, oraz działania. </w:t>
      </w:r>
    </w:p>
    <w:p w14:paraId="6B5520A2" w14:textId="77777777" w:rsidR="00EF1A17" w:rsidRPr="00213798" w:rsidRDefault="00EF1A17" w:rsidP="00EF1A17">
      <w:pPr>
        <w:pStyle w:val="Default"/>
        <w:spacing w:line="276" w:lineRule="auto"/>
        <w:ind w:firstLine="708"/>
        <w:jc w:val="center"/>
        <w:rPr>
          <w:rFonts w:ascii="Times New Roman" w:hAnsi="Times New Roman" w:cs="Times New Roman"/>
          <w:sz w:val="20"/>
          <w:szCs w:val="20"/>
        </w:rPr>
      </w:pPr>
    </w:p>
    <w:p w14:paraId="3BD1CF3A" w14:textId="77777777" w:rsidR="00EF1A17" w:rsidRPr="00213798" w:rsidRDefault="00EF1A17" w:rsidP="00EF1A17">
      <w:pPr>
        <w:pStyle w:val="Default"/>
        <w:spacing w:line="276" w:lineRule="auto"/>
        <w:jc w:val="center"/>
        <w:rPr>
          <w:rFonts w:ascii="Times New Roman" w:hAnsi="Times New Roman" w:cs="Times New Roman"/>
        </w:rPr>
      </w:pPr>
      <w:r w:rsidRPr="00213798">
        <w:rPr>
          <w:rFonts w:ascii="Times New Roman" w:hAnsi="Times New Roman" w:cs="Times New Roman"/>
          <w:noProof/>
          <w:lang w:eastAsia="pl-PL"/>
        </w:rPr>
        <w:drawing>
          <wp:inline distT="0" distB="0" distL="0" distR="0" wp14:anchorId="4C601C75" wp14:editId="1E30897A">
            <wp:extent cx="5760720" cy="3537463"/>
            <wp:effectExtent l="0" t="0" r="0" b="635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537463"/>
                    </a:xfrm>
                    <a:prstGeom prst="rect">
                      <a:avLst/>
                    </a:prstGeom>
                    <a:noFill/>
                    <a:ln>
                      <a:noFill/>
                    </a:ln>
                  </pic:spPr>
                </pic:pic>
              </a:graphicData>
            </a:graphic>
          </wp:inline>
        </w:drawing>
      </w:r>
    </w:p>
    <w:p w14:paraId="6AE95C10" w14:textId="77777777" w:rsidR="00EF1A17" w:rsidRPr="00213798" w:rsidRDefault="00EF1A17" w:rsidP="00EF1A17">
      <w:pPr>
        <w:autoSpaceDE w:val="0"/>
        <w:autoSpaceDN w:val="0"/>
        <w:adjustRightInd w:val="0"/>
        <w:spacing w:after="0"/>
        <w:jc w:val="both"/>
        <w:rPr>
          <w:rFonts w:ascii="Times New Roman" w:hAnsi="Times New Roman" w:cs="Times New Roman"/>
          <w:bCs/>
          <w:color w:val="000000"/>
          <w:sz w:val="24"/>
          <w:szCs w:val="24"/>
        </w:rPr>
      </w:pPr>
    </w:p>
    <w:p w14:paraId="4AEBE360" w14:textId="77777777" w:rsidR="0007078D" w:rsidRDefault="0007078D" w:rsidP="00EF1A17">
      <w:pPr>
        <w:autoSpaceDE w:val="0"/>
        <w:autoSpaceDN w:val="0"/>
        <w:adjustRightInd w:val="0"/>
        <w:spacing w:after="0"/>
        <w:jc w:val="both"/>
        <w:rPr>
          <w:rFonts w:ascii="Times New Roman" w:hAnsi="Times New Roman" w:cs="Times New Roman"/>
          <w:bCs/>
          <w:color w:val="000000"/>
          <w:sz w:val="24"/>
          <w:szCs w:val="24"/>
        </w:rPr>
      </w:pPr>
    </w:p>
    <w:tbl>
      <w:tblPr>
        <w:tblStyle w:val="Tabela-Siatka"/>
        <w:tblW w:w="0" w:type="auto"/>
        <w:shd w:val="clear" w:color="auto" w:fill="D9E2F3" w:themeFill="accent1" w:themeFillTint="33"/>
        <w:tblLook w:val="04A0" w:firstRow="1" w:lastRow="0" w:firstColumn="1" w:lastColumn="0" w:noHBand="0" w:noVBand="1"/>
      </w:tblPr>
      <w:tblGrid>
        <w:gridCol w:w="9060"/>
      </w:tblGrid>
      <w:tr w:rsidR="00F9788E" w:rsidRPr="00F9788E" w14:paraId="47A31FB6" w14:textId="77777777" w:rsidTr="00F9788E">
        <w:tc>
          <w:tcPr>
            <w:tcW w:w="9060" w:type="dxa"/>
            <w:shd w:val="clear" w:color="auto" w:fill="D9E2F3" w:themeFill="accent1" w:themeFillTint="33"/>
          </w:tcPr>
          <w:p w14:paraId="0B39E8C2" w14:textId="77777777" w:rsidR="00F9788E" w:rsidRPr="00F9788E" w:rsidRDefault="00F9788E" w:rsidP="00E54158">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 xml:space="preserve">Obszar: Gospodarka </w:t>
            </w:r>
          </w:p>
        </w:tc>
      </w:tr>
      <w:tr w:rsidR="00F9788E" w:rsidRPr="00F9788E" w14:paraId="3A63AD8A" w14:textId="77777777" w:rsidTr="00F9788E">
        <w:tc>
          <w:tcPr>
            <w:tcW w:w="9060" w:type="dxa"/>
            <w:shd w:val="clear" w:color="auto" w:fill="D9E2F3" w:themeFill="accent1" w:themeFillTint="33"/>
          </w:tcPr>
          <w:p w14:paraId="00D04F2F" w14:textId="77777777" w:rsidR="00F9788E" w:rsidRPr="00213798" w:rsidRDefault="00F9788E" w:rsidP="00F9788E">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 xml:space="preserve">Cel: </w:t>
            </w:r>
            <w:r w:rsidRPr="00F9788E">
              <w:rPr>
                <w:rFonts w:ascii="Times New Roman" w:hAnsi="Times New Roman" w:cs="Times New Roman"/>
                <w:b/>
                <w:color w:val="000000"/>
                <w:sz w:val="24"/>
                <w:szCs w:val="24"/>
              </w:rPr>
              <w:t>konkurencyjne i innowacyjne Mazowsze</w:t>
            </w:r>
            <w:r>
              <w:rPr>
                <w:rFonts w:ascii="Times New Roman" w:hAnsi="Times New Roman" w:cs="Times New Roman"/>
                <w:b/>
                <w:color w:val="000000"/>
                <w:sz w:val="24"/>
                <w:szCs w:val="24"/>
              </w:rPr>
              <w:t xml:space="preserve"> - </w:t>
            </w:r>
            <w:r w:rsidRPr="00213798">
              <w:rPr>
                <w:rFonts w:ascii="Times New Roman" w:hAnsi="Times New Roman" w:cs="Times New Roman"/>
                <w:bCs/>
                <w:color w:val="000000"/>
                <w:sz w:val="24"/>
                <w:szCs w:val="24"/>
              </w:rPr>
              <w:t>Wzrost konkurencyjności regionu poprzez rozwój działalności gospodarczej oraz transfer i wykorzystanie nowych technologii</w:t>
            </w:r>
          </w:p>
          <w:p w14:paraId="58045CA9" w14:textId="527A76F2" w:rsidR="00F9788E" w:rsidRPr="00F9788E" w:rsidRDefault="00F9788E" w:rsidP="00E54158">
            <w:pPr>
              <w:autoSpaceDE w:val="0"/>
              <w:autoSpaceDN w:val="0"/>
              <w:adjustRightInd w:val="0"/>
              <w:jc w:val="both"/>
              <w:rPr>
                <w:rFonts w:ascii="Times New Roman" w:hAnsi="Times New Roman" w:cs="Times New Roman"/>
                <w:bCs/>
                <w:color w:val="000000"/>
                <w:sz w:val="24"/>
                <w:szCs w:val="24"/>
              </w:rPr>
            </w:pPr>
          </w:p>
        </w:tc>
      </w:tr>
    </w:tbl>
    <w:p w14:paraId="7CA7001F" w14:textId="5D141E44" w:rsidR="00EF1A17" w:rsidRPr="00213798" w:rsidRDefault="00F9788E" w:rsidP="00EF1A17">
      <w:pPr>
        <w:autoSpaceDE w:val="0"/>
        <w:autoSpaceDN w:val="0"/>
        <w:adjustRightInd w:val="0"/>
        <w:spacing w:after="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Kierunki działań i działania: </w:t>
      </w:r>
    </w:p>
    <w:p w14:paraId="2DBCAEE8" w14:textId="77777777" w:rsidR="00EF1A17" w:rsidRPr="00213798" w:rsidRDefault="00EF1A17">
      <w:pPr>
        <w:pStyle w:val="Default"/>
        <w:numPr>
          <w:ilvl w:val="0"/>
          <w:numId w:val="58"/>
        </w:numPr>
        <w:spacing w:line="276" w:lineRule="auto"/>
        <w:ind w:left="426"/>
        <w:jc w:val="both"/>
        <w:rPr>
          <w:rFonts w:ascii="Times New Roman" w:hAnsi="Times New Roman" w:cs="Times New Roman"/>
        </w:rPr>
      </w:pPr>
      <w:r w:rsidRPr="00213798">
        <w:rPr>
          <w:rFonts w:ascii="Times New Roman" w:hAnsi="Times New Roman" w:cs="Times New Roman"/>
        </w:rPr>
        <w:t xml:space="preserve">Wspieranie rozwoju przedsiębiorczości </w:t>
      </w:r>
    </w:p>
    <w:p w14:paraId="3A8EC7AF" w14:textId="77777777" w:rsidR="00EF1A17" w:rsidRPr="00213798" w:rsidRDefault="00EF1A17" w:rsidP="004878C1">
      <w:pPr>
        <w:pStyle w:val="Akapitzlist"/>
        <w:numPr>
          <w:ilvl w:val="0"/>
          <w:numId w:val="5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przedsiębiorstw na etapie </w:t>
      </w:r>
      <w:r w:rsidRPr="00213798">
        <w:rPr>
          <w:rFonts w:ascii="Times New Roman" w:hAnsi="Times New Roman" w:cs="Times New Roman"/>
          <w:i/>
          <w:iCs/>
          <w:color w:val="000000"/>
          <w:sz w:val="24"/>
          <w:szCs w:val="24"/>
        </w:rPr>
        <w:t xml:space="preserve">start-up </w:t>
      </w:r>
      <w:r w:rsidRPr="00213798">
        <w:rPr>
          <w:rFonts w:ascii="Times New Roman" w:hAnsi="Times New Roman" w:cs="Times New Roman"/>
          <w:color w:val="000000"/>
          <w:sz w:val="24"/>
          <w:szCs w:val="24"/>
        </w:rPr>
        <w:t xml:space="preserve">i </w:t>
      </w:r>
      <w:r w:rsidRPr="00213798">
        <w:rPr>
          <w:rFonts w:ascii="Times New Roman" w:hAnsi="Times New Roman" w:cs="Times New Roman"/>
          <w:i/>
          <w:iCs/>
          <w:color w:val="000000"/>
          <w:sz w:val="24"/>
          <w:szCs w:val="24"/>
        </w:rPr>
        <w:t xml:space="preserve">scale-up </w:t>
      </w:r>
      <w:r w:rsidRPr="00213798">
        <w:rPr>
          <w:rFonts w:ascii="Times New Roman" w:hAnsi="Times New Roman" w:cs="Times New Roman"/>
          <w:color w:val="000000"/>
          <w:sz w:val="24"/>
          <w:szCs w:val="24"/>
        </w:rPr>
        <w:t xml:space="preserve">oraz na etapie wdrażania nowych technologii i rozwoju produktów </w:t>
      </w:r>
    </w:p>
    <w:p w14:paraId="128F5068" w14:textId="77777777" w:rsidR="00EF1A17" w:rsidRPr="00213798" w:rsidRDefault="00EF1A17" w:rsidP="004878C1">
      <w:pPr>
        <w:pStyle w:val="Akapitzlist"/>
        <w:numPr>
          <w:ilvl w:val="0"/>
          <w:numId w:val="5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przedsiębiorstw w zakresie tworzenia nowych miejsc pracy </w:t>
      </w:r>
    </w:p>
    <w:p w14:paraId="1F0C525E" w14:textId="77777777" w:rsidR="00EF1A17" w:rsidRPr="00213798" w:rsidRDefault="00EF1A17" w:rsidP="004878C1">
      <w:pPr>
        <w:pStyle w:val="Akapitzlist"/>
        <w:numPr>
          <w:ilvl w:val="0"/>
          <w:numId w:val="51"/>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Profesjonalizacja usług otoczenia biznesu </w:t>
      </w:r>
    </w:p>
    <w:p w14:paraId="36C0968C" w14:textId="77777777" w:rsidR="00EF1A17" w:rsidRPr="00213798" w:rsidRDefault="00EF1A17" w:rsidP="004878C1">
      <w:pPr>
        <w:pStyle w:val="Akapitzlist"/>
        <w:numPr>
          <w:ilvl w:val="0"/>
          <w:numId w:val="5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instrumentów finansowych wspomagających działalność przedsiębiorstw </w:t>
      </w:r>
    </w:p>
    <w:p w14:paraId="155C4DC2" w14:textId="77777777" w:rsidR="00EF1A17" w:rsidRPr="00213798" w:rsidRDefault="00EF1A17" w:rsidP="004878C1">
      <w:pPr>
        <w:pStyle w:val="Akapitzlist"/>
        <w:numPr>
          <w:ilvl w:val="0"/>
          <w:numId w:val="5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nowoczesnych terenów inwestycyjnych </w:t>
      </w:r>
    </w:p>
    <w:p w14:paraId="111FB73D" w14:textId="77777777" w:rsidR="00EF1A17" w:rsidRPr="00213798" w:rsidRDefault="00EF1A17" w:rsidP="004878C1">
      <w:pPr>
        <w:pStyle w:val="Akapitzlist"/>
        <w:numPr>
          <w:ilvl w:val="0"/>
          <w:numId w:val="5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lastRenderedPageBreak/>
        <w:t xml:space="preserve">Wspieranie internacjonalizacji i zwiększanie potencjału eksportowego przedsiębiorstw </w:t>
      </w:r>
    </w:p>
    <w:p w14:paraId="08C555A3" w14:textId="77777777" w:rsidR="00EF1A17" w:rsidRPr="00213798" w:rsidRDefault="00EF1A17" w:rsidP="004878C1">
      <w:pPr>
        <w:autoSpaceDE w:val="0"/>
        <w:autoSpaceDN w:val="0"/>
        <w:adjustRightInd w:val="0"/>
        <w:spacing w:after="0"/>
        <w:ind w:left="851"/>
        <w:jc w:val="both"/>
        <w:rPr>
          <w:rFonts w:ascii="Times New Roman" w:hAnsi="Times New Roman" w:cs="Times New Roman"/>
          <w:sz w:val="24"/>
          <w:szCs w:val="24"/>
        </w:rPr>
      </w:pPr>
    </w:p>
    <w:p w14:paraId="157303B7" w14:textId="77777777" w:rsidR="00EF1A17" w:rsidRPr="00213798" w:rsidRDefault="00EF1A17">
      <w:pPr>
        <w:pStyle w:val="Akapitzlist"/>
        <w:numPr>
          <w:ilvl w:val="0"/>
          <w:numId w:val="58"/>
        </w:numPr>
        <w:autoSpaceDE w:val="0"/>
        <w:autoSpaceDN w:val="0"/>
        <w:adjustRightInd w:val="0"/>
        <w:spacing w:after="0" w:line="276" w:lineRule="auto"/>
        <w:ind w:left="426"/>
        <w:jc w:val="both"/>
        <w:rPr>
          <w:rFonts w:ascii="Times New Roman" w:hAnsi="Times New Roman" w:cs="Times New Roman"/>
          <w:sz w:val="24"/>
          <w:szCs w:val="24"/>
        </w:rPr>
      </w:pPr>
      <w:r w:rsidRPr="00213798">
        <w:rPr>
          <w:rFonts w:ascii="Times New Roman" w:hAnsi="Times New Roman" w:cs="Times New Roman"/>
          <w:sz w:val="24"/>
          <w:szCs w:val="24"/>
        </w:rPr>
        <w:t xml:space="preserve">Rozwój zintegrowanego systemu sprzyjającego generowaniu i absorpcji innowacji </w:t>
      </w:r>
    </w:p>
    <w:p w14:paraId="7862517A" w14:textId="77777777" w:rsidR="00EF1A17" w:rsidRPr="00213798" w:rsidRDefault="00EF1A17" w:rsidP="004878C1">
      <w:pPr>
        <w:numPr>
          <w:ilvl w:val="0"/>
          <w:numId w:val="5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Rozwój nowoczesnej infrastruktury wspomagającej prowadzenie działalności gospodarczej </w:t>
      </w:r>
    </w:p>
    <w:p w14:paraId="6EDCB8E4" w14:textId="77777777" w:rsidR="00EF1A17" w:rsidRPr="00213798" w:rsidRDefault="00EF1A17" w:rsidP="004878C1">
      <w:pPr>
        <w:numPr>
          <w:ilvl w:val="0"/>
          <w:numId w:val="5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prac B+R, w tym inwestycji w infrastrukturę badawczo-rozwojową, oraz wdrażania i komercjalizacji wyników </w:t>
      </w:r>
    </w:p>
    <w:p w14:paraId="24AE0189" w14:textId="77777777" w:rsidR="00EF1A17" w:rsidRPr="00213798" w:rsidRDefault="00EF1A17" w:rsidP="004878C1">
      <w:pPr>
        <w:numPr>
          <w:ilvl w:val="0"/>
          <w:numId w:val="5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ochrony własności intelektualnej wytworzonej w podmiotach zarejestrowanych w województwie mazowieckim </w:t>
      </w:r>
    </w:p>
    <w:p w14:paraId="427D9E3D" w14:textId="77777777" w:rsidR="00EF1A17" w:rsidRPr="00213798" w:rsidRDefault="00EF1A17" w:rsidP="004878C1">
      <w:pPr>
        <w:numPr>
          <w:ilvl w:val="0"/>
          <w:numId w:val="5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współpracy szkolnictwa wyższego i jednostek naukowo-badawczych z otoczeniem społeczno-gospodarczym oraz samorządem terytorialnym </w:t>
      </w:r>
    </w:p>
    <w:p w14:paraId="682C7036" w14:textId="77777777" w:rsidR="00EF1A17" w:rsidRPr="00213798" w:rsidRDefault="00EF1A17" w:rsidP="004878C1">
      <w:pPr>
        <w:autoSpaceDE w:val="0"/>
        <w:autoSpaceDN w:val="0"/>
        <w:adjustRightInd w:val="0"/>
        <w:spacing w:after="0"/>
        <w:ind w:left="851"/>
        <w:jc w:val="both"/>
        <w:rPr>
          <w:rFonts w:ascii="Times New Roman" w:hAnsi="Times New Roman" w:cs="Times New Roman"/>
          <w:sz w:val="24"/>
          <w:szCs w:val="24"/>
        </w:rPr>
      </w:pPr>
    </w:p>
    <w:p w14:paraId="0BD9B098"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3. Cyfryzacja gospodarki </w:t>
      </w:r>
    </w:p>
    <w:p w14:paraId="39587D0D" w14:textId="77777777" w:rsidR="00EF1A17" w:rsidRPr="00213798" w:rsidRDefault="00EF1A17" w:rsidP="004878C1">
      <w:pPr>
        <w:numPr>
          <w:ilvl w:val="0"/>
          <w:numId w:val="54"/>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Zapewnienie powszechnego i bezpiecznego dostępu do Internetu, e-usług i otwartych danych </w:t>
      </w:r>
    </w:p>
    <w:p w14:paraId="12C240A7" w14:textId="77777777" w:rsidR="00EF1A17" w:rsidRPr="00213798" w:rsidRDefault="00EF1A17" w:rsidP="004878C1">
      <w:pPr>
        <w:numPr>
          <w:ilvl w:val="0"/>
          <w:numId w:val="54"/>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Wspieranie wykorzystania i rozwoju technologii cyfrowych w działalności gospodarczej </w:t>
      </w:r>
    </w:p>
    <w:p w14:paraId="413713D8" w14:textId="77777777" w:rsidR="00EF1A17" w:rsidRPr="00213798" w:rsidRDefault="00EF1A17" w:rsidP="004878C1">
      <w:pPr>
        <w:autoSpaceDE w:val="0"/>
        <w:autoSpaceDN w:val="0"/>
        <w:adjustRightInd w:val="0"/>
        <w:spacing w:after="0"/>
        <w:ind w:left="709"/>
        <w:jc w:val="both"/>
        <w:rPr>
          <w:rFonts w:ascii="Times New Roman" w:hAnsi="Times New Roman" w:cs="Times New Roman"/>
          <w:color w:val="000000"/>
          <w:sz w:val="24"/>
          <w:szCs w:val="24"/>
        </w:rPr>
      </w:pPr>
    </w:p>
    <w:p w14:paraId="790122C0"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r w:rsidRPr="00213798">
        <w:rPr>
          <w:rFonts w:ascii="Times New Roman" w:hAnsi="Times New Roman" w:cs="Times New Roman"/>
          <w:color w:val="000000"/>
          <w:sz w:val="24"/>
          <w:szCs w:val="24"/>
        </w:rPr>
        <w:t xml:space="preserve">4. Rozwój konkurencyjnej gospodarki </w:t>
      </w:r>
    </w:p>
    <w:p w14:paraId="3B9F256C" w14:textId="77777777" w:rsidR="00EF1A17" w:rsidRPr="00213798" w:rsidRDefault="00EF1A17" w:rsidP="004878C1">
      <w:pPr>
        <w:numPr>
          <w:ilvl w:val="0"/>
          <w:numId w:val="55"/>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potencjału w obszarach inteligentnej specjalizacji </w:t>
      </w:r>
    </w:p>
    <w:p w14:paraId="636B7BDF" w14:textId="77777777" w:rsidR="00EF1A17" w:rsidRPr="00213798" w:rsidRDefault="00EF1A17" w:rsidP="004878C1">
      <w:pPr>
        <w:numPr>
          <w:ilvl w:val="0"/>
          <w:numId w:val="55"/>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Rozwój przemysłu przyszłości opartego o nowoczesne technologie </w:t>
      </w:r>
    </w:p>
    <w:p w14:paraId="2D7BF979" w14:textId="77777777" w:rsidR="00EF1A17" w:rsidRPr="00213798" w:rsidRDefault="00EF1A17" w:rsidP="004878C1">
      <w:pPr>
        <w:numPr>
          <w:ilvl w:val="0"/>
          <w:numId w:val="55"/>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zielonej transformacji przedsiębiorstw w kierunku gospodarki obiegu zamkniętego </w:t>
      </w:r>
    </w:p>
    <w:p w14:paraId="081E5A2C" w14:textId="77777777" w:rsidR="00EF1A17" w:rsidRPr="00213798" w:rsidRDefault="00EF1A17" w:rsidP="004878C1">
      <w:pPr>
        <w:numPr>
          <w:ilvl w:val="0"/>
          <w:numId w:val="55"/>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Wspieranie powstawania i funkcjonowania sieci współpracy i klastrów, w tym na obszarach wiejskich </w:t>
      </w:r>
    </w:p>
    <w:p w14:paraId="0F75FAD7" w14:textId="77777777" w:rsidR="00EF1A17" w:rsidRPr="00213798" w:rsidRDefault="00EF1A17" w:rsidP="004878C1">
      <w:pPr>
        <w:numPr>
          <w:ilvl w:val="0"/>
          <w:numId w:val="55"/>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Promocja gospodarcza i intensyfikacja współpracy międzyregionalnej i międzynarodowej, w tym budowanie marki Mazowsze </w:t>
      </w:r>
    </w:p>
    <w:p w14:paraId="3C24CE11"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6B023259"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5. Rozwój miast jako centrów aktywności gospodarczej </w:t>
      </w:r>
    </w:p>
    <w:p w14:paraId="4E5267CF" w14:textId="77777777" w:rsidR="00EF1A17" w:rsidRPr="00213798" w:rsidRDefault="00EF1A17" w:rsidP="004878C1">
      <w:pPr>
        <w:numPr>
          <w:ilvl w:val="0"/>
          <w:numId w:val="56"/>
        </w:numPr>
        <w:autoSpaceDE w:val="0"/>
        <w:autoSpaceDN w:val="0"/>
        <w:adjustRightInd w:val="0"/>
        <w:spacing w:after="0" w:line="276" w:lineRule="auto"/>
        <w:ind w:left="567"/>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konkurencyjności i atrakcyjności miejskiego obszaru funkcjonalnego Warszawy </w:t>
      </w:r>
    </w:p>
    <w:p w14:paraId="4A654432" w14:textId="77777777" w:rsidR="00EF1A17" w:rsidRPr="00213798" w:rsidRDefault="00EF1A17" w:rsidP="004878C1">
      <w:pPr>
        <w:numPr>
          <w:ilvl w:val="0"/>
          <w:numId w:val="56"/>
        </w:numPr>
        <w:autoSpaceDE w:val="0"/>
        <w:autoSpaceDN w:val="0"/>
        <w:adjustRightInd w:val="0"/>
        <w:spacing w:after="0" w:line="276" w:lineRule="auto"/>
        <w:ind w:left="567"/>
        <w:jc w:val="both"/>
        <w:rPr>
          <w:rFonts w:ascii="Times New Roman" w:hAnsi="Times New Roman" w:cs="Times New Roman"/>
          <w:sz w:val="24"/>
          <w:szCs w:val="24"/>
        </w:rPr>
      </w:pPr>
      <w:r w:rsidRPr="00213798">
        <w:rPr>
          <w:rFonts w:ascii="Times New Roman" w:hAnsi="Times New Roman" w:cs="Times New Roman"/>
          <w:sz w:val="24"/>
          <w:szCs w:val="24"/>
        </w:rPr>
        <w:t xml:space="preserve">Wspieranie miast i ich obszarów funkcjonalnych, ze szczególnym uwzględnieniem miast subregionalnych, jako subregionalnych centrów rozwoju </w:t>
      </w:r>
    </w:p>
    <w:p w14:paraId="29F5FD65"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5D06CD41"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6. Aktywizacja gospodarcza obszarów wiejskich </w:t>
      </w:r>
    </w:p>
    <w:p w14:paraId="68FD0DFA" w14:textId="77777777" w:rsidR="00EF1A17" w:rsidRPr="00213798" w:rsidRDefault="00EF1A17" w:rsidP="004878C1">
      <w:pPr>
        <w:numPr>
          <w:ilvl w:val="0"/>
          <w:numId w:val="57"/>
        </w:numPr>
        <w:autoSpaceDE w:val="0"/>
        <w:autoSpaceDN w:val="0"/>
        <w:adjustRightInd w:val="0"/>
        <w:spacing w:after="0" w:line="276" w:lineRule="auto"/>
        <w:ind w:left="567"/>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wykształconych kierunków produkcji rolniczej i przemysłu rolno-spożywczego </w:t>
      </w:r>
    </w:p>
    <w:p w14:paraId="4F0E2814" w14:textId="77777777" w:rsidR="00EF1A17" w:rsidRPr="00213798" w:rsidRDefault="00EF1A17" w:rsidP="004878C1">
      <w:pPr>
        <w:numPr>
          <w:ilvl w:val="0"/>
          <w:numId w:val="57"/>
        </w:numPr>
        <w:autoSpaceDE w:val="0"/>
        <w:autoSpaceDN w:val="0"/>
        <w:adjustRightInd w:val="0"/>
        <w:spacing w:after="0" w:line="276" w:lineRule="auto"/>
        <w:ind w:left="567"/>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towarowości i produktywności gospodarstw rolnych </w:t>
      </w:r>
    </w:p>
    <w:p w14:paraId="6D24758F" w14:textId="77777777" w:rsidR="00EF1A17" w:rsidRPr="00213798" w:rsidRDefault="00EF1A17" w:rsidP="004878C1">
      <w:pPr>
        <w:numPr>
          <w:ilvl w:val="0"/>
          <w:numId w:val="57"/>
        </w:numPr>
        <w:autoSpaceDE w:val="0"/>
        <w:autoSpaceDN w:val="0"/>
        <w:adjustRightInd w:val="0"/>
        <w:spacing w:after="0" w:line="276" w:lineRule="auto"/>
        <w:ind w:left="567"/>
        <w:jc w:val="both"/>
        <w:rPr>
          <w:rFonts w:ascii="Times New Roman" w:hAnsi="Times New Roman" w:cs="Times New Roman"/>
          <w:sz w:val="24"/>
          <w:szCs w:val="24"/>
        </w:rPr>
      </w:pPr>
      <w:r w:rsidRPr="00213798">
        <w:rPr>
          <w:rFonts w:ascii="Times New Roman" w:hAnsi="Times New Roman" w:cs="Times New Roman"/>
          <w:sz w:val="24"/>
          <w:szCs w:val="24"/>
        </w:rPr>
        <w:t>Wspieranie dywersyfikacji działalności gospodarczej oraz tworzenie pozarolniczych miejsc pracy</w:t>
      </w:r>
    </w:p>
    <w:p w14:paraId="2ABED72D" w14:textId="77777777" w:rsidR="00EF1A17" w:rsidRPr="00213798" w:rsidRDefault="00EF1A17" w:rsidP="00EF1A17">
      <w:pPr>
        <w:spacing w:after="0"/>
        <w:jc w:val="both"/>
        <w:rPr>
          <w:rFonts w:ascii="Times New Roman" w:hAnsi="Times New Roman" w:cs="Times New Roman"/>
          <w:color w:val="000000"/>
          <w:sz w:val="24"/>
          <w:szCs w:val="24"/>
        </w:rPr>
      </w:pPr>
    </w:p>
    <w:p w14:paraId="2EAE9904" w14:textId="77777777" w:rsidR="00F9788E" w:rsidRDefault="00F9788E" w:rsidP="004878C1">
      <w:pPr>
        <w:spacing w:after="0"/>
        <w:jc w:val="both"/>
        <w:rPr>
          <w:rFonts w:ascii="Times New Roman" w:hAnsi="Times New Roman" w:cs="Times New Roman"/>
          <w:color w:val="000000"/>
          <w:sz w:val="24"/>
          <w:szCs w:val="24"/>
        </w:rPr>
      </w:pPr>
    </w:p>
    <w:tbl>
      <w:tblPr>
        <w:tblStyle w:val="Tabela-Siatka"/>
        <w:tblW w:w="0" w:type="auto"/>
        <w:shd w:val="clear" w:color="auto" w:fill="D9E2F3" w:themeFill="accent1" w:themeFillTint="33"/>
        <w:tblLook w:val="04A0" w:firstRow="1" w:lastRow="0" w:firstColumn="1" w:lastColumn="0" w:noHBand="0" w:noVBand="1"/>
      </w:tblPr>
      <w:tblGrid>
        <w:gridCol w:w="9060"/>
      </w:tblGrid>
      <w:tr w:rsidR="00F9788E" w:rsidRPr="00F9788E" w14:paraId="3BCB91E8" w14:textId="77777777" w:rsidTr="00F9788E">
        <w:tc>
          <w:tcPr>
            <w:tcW w:w="9060" w:type="dxa"/>
            <w:shd w:val="clear" w:color="auto" w:fill="D9E2F3" w:themeFill="accent1" w:themeFillTint="33"/>
          </w:tcPr>
          <w:p w14:paraId="6887C633" w14:textId="77777777" w:rsidR="00F9788E" w:rsidRPr="00F9788E" w:rsidRDefault="00F9788E" w:rsidP="00161F7B">
            <w:pPr>
              <w:jc w:val="both"/>
              <w:rPr>
                <w:rFonts w:ascii="Times New Roman" w:hAnsi="Times New Roman" w:cs="Times New Roman"/>
                <w:color w:val="000000"/>
                <w:sz w:val="24"/>
                <w:szCs w:val="24"/>
              </w:rPr>
            </w:pPr>
            <w:r w:rsidRPr="00F9788E">
              <w:rPr>
                <w:rFonts w:ascii="Times New Roman" w:hAnsi="Times New Roman" w:cs="Times New Roman"/>
                <w:color w:val="000000"/>
                <w:sz w:val="24"/>
                <w:szCs w:val="24"/>
              </w:rPr>
              <w:lastRenderedPageBreak/>
              <w:t>Obszar: Dostępność</w:t>
            </w:r>
          </w:p>
        </w:tc>
      </w:tr>
      <w:tr w:rsidR="00F9788E" w:rsidRPr="00F9788E" w14:paraId="777D43E6" w14:textId="77777777" w:rsidTr="00F9788E">
        <w:tc>
          <w:tcPr>
            <w:tcW w:w="9060" w:type="dxa"/>
            <w:shd w:val="clear" w:color="auto" w:fill="D9E2F3" w:themeFill="accent1" w:themeFillTint="33"/>
          </w:tcPr>
          <w:p w14:paraId="0BA94308" w14:textId="71D33DBE" w:rsidR="00F9788E" w:rsidRPr="00F9788E" w:rsidRDefault="00F9788E" w:rsidP="00F9788E">
            <w:pPr>
              <w:pStyle w:val="Pa27"/>
              <w:spacing w:line="276" w:lineRule="auto"/>
              <w:jc w:val="both"/>
              <w:rPr>
                <w:rFonts w:ascii="Times New Roman" w:hAnsi="Times New Roman" w:cs="Times New Roman"/>
                <w:bCs/>
              </w:rPr>
            </w:pPr>
            <w:r w:rsidRPr="00F9788E">
              <w:rPr>
                <w:rFonts w:ascii="Times New Roman" w:hAnsi="Times New Roman" w:cs="Times New Roman"/>
                <w:bCs/>
              </w:rPr>
              <w:t xml:space="preserve">Cel: </w:t>
            </w:r>
            <w:r w:rsidRPr="00F9788E">
              <w:rPr>
                <w:rFonts w:ascii="Times New Roman" w:hAnsi="Times New Roman" w:cs="Times New Roman"/>
                <w:b/>
              </w:rPr>
              <w:t>Dostępne i mobilne Mazowsze</w:t>
            </w:r>
            <w:r>
              <w:rPr>
                <w:rFonts w:ascii="Times New Roman" w:hAnsi="Times New Roman" w:cs="Times New Roman"/>
                <w:b/>
              </w:rPr>
              <w:t xml:space="preserve"> - </w:t>
            </w:r>
            <w:r w:rsidRPr="00213798">
              <w:rPr>
                <w:rFonts w:ascii="Times New Roman" w:hAnsi="Times New Roman" w:cs="Times New Roman"/>
                <w:bCs/>
              </w:rPr>
              <w:t>Poprawa dostępności i spójności terytorialnej regionu przy ograniczaniu presji na przestrzeń i środowisko, kształtowanie ładu przestrzennego</w:t>
            </w:r>
          </w:p>
        </w:tc>
      </w:tr>
    </w:tbl>
    <w:p w14:paraId="760EE7AD" w14:textId="2A265692" w:rsidR="00F9788E" w:rsidRDefault="00F9788E" w:rsidP="004878C1">
      <w:pPr>
        <w:pStyle w:val="Default"/>
        <w:rPr>
          <w:rFonts w:ascii="Times New Roman" w:hAnsi="Times New Roman" w:cs="Times New Roman"/>
        </w:rPr>
      </w:pPr>
      <w:r w:rsidRPr="00F9788E">
        <w:rPr>
          <w:rFonts w:ascii="Times New Roman" w:hAnsi="Times New Roman" w:cs="Times New Roman"/>
        </w:rPr>
        <w:t xml:space="preserve">Kierunki działań i działania: </w:t>
      </w:r>
    </w:p>
    <w:p w14:paraId="1BD3E074" w14:textId="77777777" w:rsidR="00F9788E" w:rsidRPr="00F9788E" w:rsidRDefault="00F9788E" w:rsidP="004878C1">
      <w:pPr>
        <w:pStyle w:val="Default"/>
        <w:rPr>
          <w:rFonts w:ascii="Times New Roman" w:hAnsi="Times New Roman" w:cs="Times New Roman"/>
        </w:rPr>
      </w:pPr>
    </w:p>
    <w:p w14:paraId="33131867" w14:textId="77777777" w:rsidR="00EF1A17" w:rsidRPr="00213798" w:rsidRDefault="00EF1A17" w:rsidP="00EF1A17">
      <w:pPr>
        <w:autoSpaceDE w:val="0"/>
        <w:autoSpaceDN w:val="0"/>
        <w:adjustRightInd w:val="0"/>
        <w:spacing w:after="0"/>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7. Zwiększenie dostępności transportowej i spójności przestrzennej regionu oraz udziału </w:t>
      </w:r>
    </w:p>
    <w:p w14:paraId="7E9C0932" w14:textId="77777777" w:rsidR="00EF1A17" w:rsidRPr="00213798" w:rsidRDefault="00EF1A17" w:rsidP="00EF1A17">
      <w:pPr>
        <w:pStyle w:val="Default"/>
        <w:spacing w:line="276" w:lineRule="auto"/>
        <w:jc w:val="both"/>
        <w:rPr>
          <w:rFonts w:ascii="Times New Roman" w:hAnsi="Times New Roman" w:cs="Times New Roman"/>
          <w:color w:val="auto"/>
        </w:rPr>
      </w:pPr>
      <w:r w:rsidRPr="00213798">
        <w:rPr>
          <w:rFonts w:ascii="Times New Roman" w:hAnsi="Times New Roman" w:cs="Times New Roman"/>
        </w:rPr>
        <w:t xml:space="preserve">środków transportu przyjaznych dla środowiska, mieszkańców i przestrzeni </w:t>
      </w:r>
    </w:p>
    <w:p w14:paraId="4319C4F1"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Rozbudowa i modernizacja transportu kolejowego, w szczególności poprzez inwestycje w linie poprawiające dostępność ośrodków subregionalnych </w:t>
      </w:r>
    </w:p>
    <w:p w14:paraId="4EA51C1B"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Budowa dróg krajowych i wojewódzkich do ośrodków subregionalnych słabo skomunikowanych z Warszawą i z sąsiednimi ośrodkami rozwoju kraju </w:t>
      </w:r>
    </w:p>
    <w:p w14:paraId="2F340762"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Rozbudowa i poprawa konkurencyjności multimodalnego, zintegrowanego systemu ekologicznego transportu zbiorowego, w tym rozwój wojewódzkiej sieci połączeń autobusowych </w:t>
      </w:r>
    </w:p>
    <w:p w14:paraId="7A0C10B1"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Poprawa ciągłości i jakości tras pieszych i rowerowych </w:t>
      </w:r>
    </w:p>
    <w:p w14:paraId="3BE94B31"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Budowa i utrzymanie sieci szkieletowej tras rowerowych </w:t>
      </w:r>
    </w:p>
    <w:p w14:paraId="7FF6580F"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Podnoszenie poziomu bezpieczeństwa ruchu drogowego </w:t>
      </w:r>
    </w:p>
    <w:p w14:paraId="289D3FAC" w14:textId="77777777" w:rsidR="00EF1A17" w:rsidRPr="00213798" w:rsidRDefault="00EF1A17">
      <w:pPr>
        <w:numPr>
          <w:ilvl w:val="0"/>
          <w:numId w:val="59"/>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Rozbudowa infrastruktury do ładowania pojazdów o napędach alternatywnych </w:t>
      </w:r>
    </w:p>
    <w:p w14:paraId="33A065A7"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2B688C0A" w14:textId="77777777" w:rsidR="00EF1A17" w:rsidRPr="00213798" w:rsidRDefault="00EF1A17" w:rsidP="00EF1A17">
      <w:pPr>
        <w:pStyle w:val="Default"/>
        <w:spacing w:line="276" w:lineRule="auto"/>
        <w:jc w:val="both"/>
        <w:rPr>
          <w:rFonts w:ascii="Times New Roman" w:hAnsi="Times New Roman" w:cs="Times New Roman"/>
        </w:rPr>
      </w:pPr>
      <w:r w:rsidRPr="00213798">
        <w:rPr>
          <w:rFonts w:ascii="Times New Roman" w:hAnsi="Times New Roman" w:cs="Times New Roman"/>
        </w:rPr>
        <w:t xml:space="preserve">8. Rozwój uporządkowanej sieci osadniczej, sprzyjającej wykorzystaniu transportu zbiorowego i ruchowi niezmotoryzowanemu </w:t>
      </w:r>
    </w:p>
    <w:p w14:paraId="64D12356"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Zapobieganie rozlewaniu i rozpraszaniu zabudowy i minimalizacja presji urbanistycznej na tereny otwarte </w:t>
      </w:r>
    </w:p>
    <w:p w14:paraId="464593ED"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Koncentracja zabudowy w miastach i obszarach obsługiwanych wydajną komunikacją zbiorową, z zapewnieniem dogodnych warunków ruchu niezmotoryzowanego </w:t>
      </w:r>
    </w:p>
    <w:p w14:paraId="7648C456"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Przekształcanie dróg w miastach w ulice o funkcjach miastotwórczych, tworzących przyjazną przestrzeń urbanistyczną </w:t>
      </w:r>
    </w:p>
    <w:p w14:paraId="60A0FDE4"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Aktywizacja przestrzeni miejskiej poprzez działania, w tym planistyczne, sprzyjające przenoszeniu handlu i usług do lokali przyulicznych </w:t>
      </w:r>
    </w:p>
    <w:p w14:paraId="1B390E57"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Kompleksowa rewitalizacja w miastach i miejscowościach wiejskich </w:t>
      </w:r>
    </w:p>
    <w:p w14:paraId="76E7D267"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Zwiększanie dostępności przestrzeni publicznej dla osób o ograniczonej mobilności </w:t>
      </w:r>
    </w:p>
    <w:p w14:paraId="367FBF77" w14:textId="77777777" w:rsidR="00EF1A17" w:rsidRPr="00213798" w:rsidRDefault="00EF1A17">
      <w:pPr>
        <w:numPr>
          <w:ilvl w:val="0"/>
          <w:numId w:val="60"/>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Zwiększanie udziału zieleni, w tym wysokiej, w pasie drogowym </w:t>
      </w:r>
    </w:p>
    <w:p w14:paraId="5DE1106B"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1E3FD10F" w14:textId="77777777" w:rsidR="00EF1A17" w:rsidRPr="00213798" w:rsidRDefault="00EF1A17">
      <w:pPr>
        <w:pStyle w:val="Akapitzlist"/>
        <w:numPr>
          <w:ilvl w:val="0"/>
          <w:numId w:val="85"/>
        </w:numPr>
        <w:autoSpaceDE w:val="0"/>
        <w:autoSpaceDN w:val="0"/>
        <w:adjustRightInd w:val="0"/>
        <w:spacing w:after="0" w:line="276" w:lineRule="auto"/>
        <w:ind w:left="426"/>
        <w:jc w:val="both"/>
        <w:rPr>
          <w:rFonts w:ascii="Times New Roman" w:hAnsi="Times New Roman" w:cs="Times New Roman"/>
          <w:sz w:val="24"/>
          <w:szCs w:val="24"/>
        </w:rPr>
      </w:pPr>
      <w:r w:rsidRPr="00213798">
        <w:rPr>
          <w:rFonts w:ascii="Times New Roman" w:hAnsi="Times New Roman" w:cs="Times New Roman"/>
          <w:sz w:val="24"/>
          <w:szCs w:val="24"/>
        </w:rPr>
        <w:t xml:space="preserve">Udrożnienie systemu tranzytowego i ograniczenie ruchu tranzytowego na pozostałych trasach </w:t>
      </w:r>
    </w:p>
    <w:p w14:paraId="1143ED6A" w14:textId="77777777" w:rsidR="00EF1A17" w:rsidRPr="00213798" w:rsidRDefault="00EF1A17">
      <w:pPr>
        <w:numPr>
          <w:ilvl w:val="0"/>
          <w:numId w:val="61"/>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Tworzenie warunków do integracji różnych gałęzi transportu </w:t>
      </w:r>
    </w:p>
    <w:p w14:paraId="75F7C17D" w14:textId="77777777" w:rsidR="00EF1A17" w:rsidRPr="00213798" w:rsidRDefault="00EF1A17">
      <w:pPr>
        <w:numPr>
          <w:ilvl w:val="0"/>
          <w:numId w:val="61"/>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Zwiększenie konkurencyjności towarowego transportu kolejowego względem drogowego, w tym poprzez poprawę jakości infrastruktury, taboru i usług </w:t>
      </w:r>
    </w:p>
    <w:p w14:paraId="3CC6CB47" w14:textId="77777777" w:rsidR="00EF1A17" w:rsidRPr="00213798" w:rsidRDefault="00EF1A17">
      <w:pPr>
        <w:numPr>
          <w:ilvl w:val="0"/>
          <w:numId w:val="61"/>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Dostosowywanie parametrów, standardów technicznych i przebiegu dróg do ich funkcji </w:t>
      </w:r>
    </w:p>
    <w:p w14:paraId="317127CE" w14:textId="77777777" w:rsidR="00EF1A17" w:rsidRPr="00213798" w:rsidRDefault="00EF1A17">
      <w:pPr>
        <w:numPr>
          <w:ilvl w:val="0"/>
          <w:numId w:val="61"/>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Rozbudowa i modernizacja infrastruktury dostosowanej do ruchu tranzytowego (towarowe linie kolejowe, drogi krajowe, sieć TEN-T), omijającej miasta, wraz z przekształcaniem dawnych dróg przelotowych w ulice miejskie </w:t>
      </w:r>
    </w:p>
    <w:p w14:paraId="5D10C879" w14:textId="77777777" w:rsidR="00EF1A17" w:rsidRPr="00213798" w:rsidRDefault="00EF1A17">
      <w:pPr>
        <w:numPr>
          <w:ilvl w:val="0"/>
          <w:numId w:val="61"/>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Działania organizacyjno-prawne na rzecz ograniczenia ruchu tranzytowego w miastach i przenoszenia przewozów z dróg na tory</w:t>
      </w:r>
    </w:p>
    <w:p w14:paraId="5D05CB16" w14:textId="77777777" w:rsidR="004878C1" w:rsidRDefault="004878C1" w:rsidP="004878C1">
      <w:pPr>
        <w:autoSpaceDE w:val="0"/>
        <w:autoSpaceDN w:val="0"/>
        <w:adjustRightInd w:val="0"/>
        <w:spacing w:after="0"/>
        <w:jc w:val="both"/>
        <w:rPr>
          <w:rFonts w:ascii="Times New Roman" w:hAnsi="Times New Roman" w:cs="Times New Roman"/>
          <w:sz w:val="24"/>
          <w:szCs w:val="24"/>
        </w:rPr>
      </w:pPr>
    </w:p>
    <w:tbl>
      <w:tblPr>
        <w:tblStyle w:val="Tabela-Siatka"/>
        <w:tblW w:w="0" w:type="auto"/>
        <w:shd w:val="clear" w:color="auto" w:fill="D9E2F3" w:themeFill="accent1" w:themeFillTint="33"/>
        <w:tblLook w:val="04A0" w:firstRow="1" w:lastRow="0" w:firstColumn="1" w:lastColumn="0" w:noHBand="0" w:noVBand="1"/>
      </w:tblPr>
      <w:tblGrid>
        <w:gridCol w:w="9060"/>
      </w:tblGrid>
      <w:tr w:rsidR="00F9788E" w:rsidRPr="00F9788E" w14:paraId="7A3853BC" w14:textId="77777777" w:rsidTr="00F9788E">
        <w:tc>
          <w:tcPr>
            <w:tcW w:w="9060" w:type="dxa"/>
            <w:shd w:val="clear" w:color="auto" w:fill="D9E2F3" w:themeFill="accent1" w:themeFillTint="33"/>
          </w:tcPr>
          <w:p w14:paraId="631365E1" w14:textId="77777777" w:rsidR="00F9788E" w:rsidRPr="00F9788E" w:rsidRDefault="00F9788E" w:rsidP="00045552">
            <w:pPr>
              <w:autoSpaceDE w:val="0"/>
              <w:autoSpaceDN w:val="0"/>
              <w:adjustRightInd w:val="0"/>
              <w:jc w:val="both"/>
              <w:rPr>
                <w:rFonts w:ascii="Times New Roman" w:hAnsi="Times New Roman" w:cs="Times New Roman"/>
                <w:sz w:val="24"/>
                <w:szCs w:val="24"/>
              </w:rPr>
            </w:pPr>
            <w:r w:rsidRPr="00F9788E">
              <w:rPr>
                <w:rFonts w:ascii="Times New Roman" w:hAnsi="Times New Roman" w:cs="Times New Roman"/>
                <w:sz w:val="24"/>
                <w:szCs w:val="24"/>
              </w:rPr>
              <w:t>Obszar: Środowisko i energetyka</w:t>
            </w:r>
          </w:p>
        </w:tc>
      </w:tr>
      <w:tr w:rsidR="00F9788E" w:rsidRPr="00F9788E" w14:paraId="0A90D01E" w14:textId="77777777" w:rsidTr="00F9788E">
        <w:tc>
          <w:tcPr>
            <w:tcW w:w="9060" w:type="dxa"/>
            <w:shd w:val="clear" w:color="auto" w:fill="D9E2F3" w:themeFill="accent1" w:themeFillTint="33"/>
          </w:tcPr>
          <w:p w14:paraId="5DF13BD2" w14:textId="3F471708" w:rsidR="00F9788E" w:rsidRPr="00F9788E" w:rsidRDefault="00F9788E" w:rsidP="00F9788E">
            <w:pPr>
              <w:autoSpaceDE w:val="0"/>
              <w:autoSpaceDN w:val="0"/>
              <w:adjustRightInd w:val="0"/>
              <w:jc w:val="both"/>
              <w:rPr>
                <w:rFonts w:ascii="Times New Roman" w:hAnsi="Times New Roman" w:cs="Times New Roman"/>
                <w:color w:val="000000"/>
                <w:sz w:val="24"/>
                <w:szCs w:val="24"/>
              </w:rPr>
            </w:pPr>
            <w:r w:rsidRPr="00F9788E">
              <w:rPr>
                <w:rFonts w:ascii="Times New Roman" w:hAnsi="Times New Roman" w:cs="Times New Roman"/>
                <w:b/>
                <w:color w:val="000000"/>
                <w:sz w:val="24"/>
                <w:szCs w:val="24"/>
              </w:rPr>
              <w:t>Cel: Zielone, niskoemisyjne Mazowsze</w:t>
            </w:r>
            <w:r>
              <w:rPr>
                <w:rFonts w:ascii="Times New Roman" w:hAnsi="Times New Roman" w:cs="Times New Roman"/>
                <w:b/>
                <w:color w:val="000000"/>
                <w:sz w:val="24"/>
                <w:szCs w:val="24"/>
              </w:rPr>
              <w:t xml:space="preserve"> - </w:t>
            </w:r>
            <w:r w:rsidRPr="00213798">
              <w:rPr>
                <w:rFonts w:ascii="Times New Roman" w:hAnsi="Times New Roman" w:cs="Times New Roman"/>
                <w:color w:val="000000"/>
                <w:sz w:val="24"/>
                <w:szCs w:val="24"/>
              </w:rPr>
              <w:t>Poprawa stanu środowiska poprzez racjonalne gospodarowanie zasobami przyrody</w:t>
            </w:r>
          </w:p>
        </w:tc>
      </w:tr>
    </w:tbl>
    <w:p w14:paraId="70C6E920" w14:textId="2C5B9D94" w:rsidR="00EF1A17" w:rsidRDefault="00F9788E" w:rsidP="00F9788E">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Kierunki działań i działania: </w:t>
      </w:r>
    </w:p>
    <w:p w14:paraId="51B8F88D" w14:textId="77777777" w:rsidR="00F9788E" w:rsidRPr="00213798" w:rsidRDefault="00F9788E" w:rsidP="00F9788E">
      <w:pPr>
        <w:autoSpaceDE w:val="0"/>
        <w:autoSpaceDN w:val="0"/>
        <w:adjustRightInd w:val="0"/>
        <w:spacing w:after="0"/>
        <w:jc w:val="both"/>
        <w:rPr>
          <w:rFonts w:ascii="Times New Roman" w:hAnsi="Times New Roman" w:cs="Times New Roman"/>
          <w:color w:val="000000"/>
          <w:sz w:val="24"/>
          <w:szCs w:val="24"/>
        </w:rPr>
      </w:pPr>
    </w:p>
    <w:p w14:paraId="19EA5C13" w14:textId="77777777" w:rsidR="00EF1A17" w:rsidRPr="00213798" w:rsidRDefault="00EF1A17">
      <w:pPr>
        <w:pStyle w:val="Default"/>
        <w:numPr>
          <w:ilvl w:val="0"/>
          <w:numId w:val="65"/>
        </w:numPr>
        <w:spacing w:line="276" w:lineRule="auto"/>
        <w:jc w:val="both"/>
        <w:rPr>
          <w:rFonts w:ascii="Times New Roman" w:hAnsi="Times New Roman" w:cs="Times New Roman"/>
        </w:rPr>
      </w:pPr>
      <w:r w:rsidRPr="00213798">
        <w:rPr>
          <w:rFonts w:ascii="Times New Roman" w:hAnsi="Times New Roman" w:cs="Times New Roman"/>
        </w:rPr>
        <w:t xml:space="preserve">Zapewnienie trwałego i zrównoważonego rozwoju oraz zachowanie wysokich walorów środowiska </w:t>
      </w:r>
    </w:p>
    <w:p w14:paraId="4EDB0AA9"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Ochrona obszarów cennych przyrodniczo (w tym objętych ochroną prawną) i przeciwdziałanie ich fragmentacji </w:t>
      </w:r>
    </w:p>
    <w:p w14:paraId="4434D35B"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Ochrona zwartych kompleksów gleb wysokiej klasy </w:t>
      </w:r>
    </w:p>
    <w:p w14:paraId="399D1B5B"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Racjonalne gospodarowanie zasobami wodnymi </w:t>
      </w:r>
    </w:p>
    <w:p w14:paraId="5B2F4EF8"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Ochrona i kształtowanie krajobrazu </w:t>
      </w:r>
    </w:p>
    <w:p w14:paraId="40F562ED"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Ochrona przed zanieczyszczeniem powietrza i ograniczenie hałasu </w:t>
      </w:r>
    </w:p>
    <w:p w14:paraId="20E0E7FB"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Zwiększanie lesistości regionu </w:t>
      </w:r>
    </w:p>
    <w:p w14:paraId="6F303F67"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Kształtowanie świadomości ekologicznej </w:t>
      </w:r>
    </w:p>
    <w:p w14:paraId="28FD4D9A" w14:textId="77777777" w:rsidR="00EF1A17" w:rsidRPr="00213798" w:rsidRDefault="00EF1A17">
      <w:pPr>
        <w:numPr>
          <w:ilvl w:val="0"/>
          <w:numId w:val="62"/>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Racjonalne gospodarowanie przestrzenią z poszanowaniem potrzeb ochrony środowiska </w:t>
      </w:r>
    </w:p>
    <w:p w14:paraId="1896D81A"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6DED1809"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Proekologiczna transformacja energetyki </w:t>
      </w:r>
    </w:p>
    <w:p w14:paraId="3BC0131F" w14:textId="77777777" w:rsidR="00EF1A17" w:rsidRPr="00213798" w:rsidRDefault="00EF1A17">
      <w:pPr>
        <w:numPr>
          <w:ilvl w:val="0"/>
          <w:numId w:val="63"/>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Zwiększanie wykorzystania odnawialnych źródeł energii </w:t>
      </w:r>
    </w:p>
    <w:p w14:paraId="52AA5DDC" w14:textId="77777777" w:rsidR="00EF1A17" w:rsidRPr="00213798" w:rsidRDefault="00EF1A17">
      <w:pPr>
        <w:numPr>
          <w:ilvl w:val="0"/>
          <w:numId w:val="63"/>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Rozwój niskoemisyjnych instalacji do produkcji energii, w szczególności w technologii wysokosprawnej kogeneracji i poligeneracji </w:t>
      </w:r>
    </w:p>
    <w:p w14:paraId="6CDF9357" w14:textId="77777777" w:rsidR="00EF1A17" w:rsidRPr="00213798" w:rsidRDefault="00EF1A17">
      <w:pPr>
        <w:numPr>
          <w:ilvl w:val="0"/>
          <w:numId w:val="63"/>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Rozwój ekologicznej energetyki rozproszonej, w tym klastrów energii i spółdzielni energetycznych </w:t>
      </w:r>
    </w:p>
    <w:p w14:paraId="58246950" w14:textId="77777777" w:rsidR="00EF1A17" w:rsidRPr="00213798" w:rsidRDefault="00EF1A17">
      <w:pPr>
        <w:numPr>
          <w:ilvl w:val="0"/>
          <w:numId w:val="63"/>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Budowa magazynów energii </w:t>
      </w:r>
    </w:p>
    <w:p w14:paraId="07E913E2" w14:textId="77777777" w:rsidR="00EF1A17" w:rsidRPr="00213798" w:rsidRDefault="00EF1A17">
      <w:pPr>
        <w:numPr>
          <w:ilvl w:val="0"/>
          <w:numId w:val="63"/>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Rozbudowa i modernizacja systemów energetycznych, w tym rozwój inteligentnych sieci energetycznych i gazyfikacje wyspowe </w:t>
      </w:r>
    </w:p>
    <w:p w14:paraId="13AC7535"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5A193D42" w14:textId="77777777" w:rsidR="00EF1A17" w:rsidRPr="00213798" w:rsidRDefault="00EF1A17">
      <w:pPr>
        <w:pStyle w:val="Default"/>
        <w:numPr>
          <w:ilvl w:val="0"/>
          <w:numId w:val="65"/>
        </w:numPr>
        <w:spacing w:line="276" w:lineRule="auto"/>
        <w:jc w:val="both"/>
        <w:rPr>
          <w:rFonts w:ascii="Times New Roman" w:hAnsi="Times New Roman" w:cs="Times New Roman"/>
        </w:rPr>
      </w:pPr>
      <w:r w:rsidRPr="00213798">
        <w:rPr>
          <w:rFonts w:ascii="Times New Roman" w:hAnsi="Times New Roman" w:cs="Times New Roman"/>
        </w:rPr>
        <w:t xml:space="preserve">Przeciwdziałanie zagrożeniom naturalnym i adaptacja do zmian klimatu </w:t>
      </w:r>
    </w:p>
    <w:p w14:paraId="154FE000" w14:textId="77777777" w:rsidR="00EF1A17" w:rsidRPr="00213798" w:rsidRDefault="00EF1A17">
      <w:pPr>
        <w:numPr>
          <w:ilvl w:val="0"/>
          <w:numId w:val="64"/>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Zwiększenie poziomu ochrony przeciwpowodziowej, zarządzanie ryzykiem powodziowym, zapobieganie osuwiskom i podtopieniom </w:t>
      </w:r>
    </w:p>
    <w:p w14:paraId="34511D5E" w14:textId="77777777" w:rsidR="00EF1A17" w:rsidRPr="00213798" w:rsidRDefault="00EF1A17">
      <w:pPr>
        <w:numPr>
          <w:ilvl w:val="0"/>
          <w:numId w:val="64"/>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Zwiększanie powierzchni terenów zieleni, w szczególności ogólnodostępnych, na obszarach zurbanizowanych </w:t>
      </w:r>
    </w:p>
    <w:p w14:paraId="26E06FEC" w14:textId="77777777" w:rsidR="00EF1A17" w:rsidRPr="00213798" w:rsidRDefault="00EF1A17">
      <w:pPr>
        <w:numPr>
          <w:ilvl w:val="0"/>
          <w:numId w:val="64"/>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Zapobieganie suszy i łagodzenie jej skutków </w:t>
      </w:r>
    </w:p>
    <w:p w14:paraId="0B32833C" w14:textId="77777777" w:rsidR="00EF1A17" w:rsidRPr="00213798" w:rsidRDefault="00EF1A17">
      <w:pPr>
        <w:numPr>
          <w:ilvl w:val="0"/>
          <w:numId w:val="64"/>
        </w:numPr>
        <w:autoSpaceDE w:val="0"/>
        <w:autoSpaceDN w:val="0"/>
        <w:adjustRightInd w:val="0"/>
        <w:spacing w:after="0" w:line="276" w:lineRule="auto"/>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Zwiększenie retencji wodnej, w tym wód opadowych, kształtowanie niebieskiej i zielonej infrastruktury w miastach </w:t>
      </w:r>
    </w:p>
    <w:p w14:paraId="2BE147C0"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7C8A5801"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Poprawa jakości środowiska </w:t>
      </w:r>
    </w:p>
    <w:p w14:paraId="625F1499" w14:textId="77777777" w:rsidR="00EF1A17" w:rsidRPr="00213798" w:rsidRDefault="00EF1A17" w:rsidP="00D93FA5">
      <w:pPr>
        <w:numPr>
          <w:ilvl w:val="0"/>
          <w:numId w:val="66"/>
        </w:numPr>
        <w:autoSpaceDE w:val="0"/>
        <w:autoSpaceDN w:val="0"/>
        <w:adjustRightInd w:val="0"/>
        <w:spacing w:after="0" w:line="276" w:lineRule="auto"/>
        <w:ind w:left="709" w:hanging="283"/>
        <w:jc w:val="both"/>
        <w:rPr>
          <w:rFonts w:ascii="Times New Roman" w:hAnsi="Times New Roman" w:cs="Times New Roman"/>
          <w:sz w:val="24"/>
          <w:szCs w:val="24"/>
        </w:rPr>
      </w:pPr>
      <w:r w:rsidRPr="00213798">
        <w:rPr>
          <w:rFonts w:ascii="Times New Roman" w:hAnsi="Times New Roman" w:cs="Times New Roman"/>
          <w:sz w:val="24"/>
          <w:szCs w:val="24"/>
        </w:rPr>
        <w:t xml:space="preserve">Ograniczenie emisji zanieczyszczeń do wód, atmosfery i gleby </w:t>
      </w:r>
    </w:p>
    <w:p w14:paraId="74A623B2" w14:textId="77777777" w:rsidR="00EF1A17" w:rsidRPr="00213798" w:rsidRDefault="00EF1A17" w:rsidP="00D93FA5">
      <w:pPr>
        <w:numPr>
          <w:ilvl w:val="0"/>
          <w:numId w:val="66"/>
        </w:numPr>
        <w:autoSpaceDE w:val="0"/>
        <w:autoSpaceDN w:val="0"/>
        <w:adjustRightInd w:val="0"/>
        <w:spacing w:after="0" w:line="276" w:lineRule="auto"/>
        <w:ind w:left="709" w:hanging="283"/>
        <w:jc w:val="both"/>
        <w:rPr>
          <w:rFonts w:ascii="Times New Roman" w:hAnsi="Times New Roman" w:cs="Times New Roman"/>
          <w:sz w:val="24"/>
          <w:szCs w:val="24"/>
        </w:rPr>
      </w:pPr>
      <w:r w:rsidRPr="00213798">
        <w:rPr>
          <w:rFonts w:ascii="Times New Roman" w:hAnsi="Times New Roman" w:cs="Times New Roman"/>
          <w:sz w:val="24"/>
          <w:szCs w:val="24"/>
        </w:rPr>
        <w:t xml:space="preserve">Wdrożenie spójnego systemu gospodarki odpadami, możliwie bliskiego gospodarce o obiegu zamkniętym </w:t>
      </w:r>
    </w:p>
    <w:p w14:paraId="24B45602" w14:textId="77777777" w:rsidR="00EF1A17" w:rsidRPr="00213798" w:rsidRDefault="00EF1A17" w:rsidP="00D93FA5">
      <w:pPr>
        <w:numPr>
          <w:ilvl w:val="0"/>
          <w:numId w:val="66"/>
        </w:numPr>
        <w:autoSpaceDE w:val="0"/>
        <w:autoSpaceDN w:val="0"/>
        <w:adjustRightInd w:val="0"/>
        <w:spacing w:after="0" w:line="276" w:lineRule="auto"/>
        <w:ind w:left="709" w:hanging="283"/>
        <w:jc w:val="both"/>
        <w:rPr>
          <w:rFonts w:ascii="Times New Roman" w:hAnsi="Times New Roman" w:cs="Times New Roman"/>
          <w:sz w:val="24"/>
          <w:szCs w:val="24"/>
        </w:rPr>
      </w:pPr>
      <w:r w:rsidRPr="00213798">
        <w:rPr>
          <w:rFonts w:ascii="Times New Roman" w:hAnsi="Times New Roman" w:cs="Times New Roman"/>
          <w:sz w:val="24"/>
          <w:szCs w:val="24"/>
        </w:rPr>
        <w:t xml:space="preserve">Zamykanie i rekultywacja składowisk oraz usuwanie wyrobów i odpadów niebezpiecznych </w:t>
      </w:r>
    </w:p>
    <w:p w14:paraId="35544565" w14:textId="77777777" w:rsidR="00EF1A17" w:rsidRPr="00213798" w:rsidRDefault="00EF1A17" w:rsidP="00D93FA5">
      <w:pPr>
        <w:numPr>
          <w:ilvl w:val="0"/>
          <w:numId w:val="66"/>
        </w:numPr>
        <w:autoSpaceDE w:val="0"/>
        <w:autoSpaceDN w:val="0"/>
        <w:adjustRightInd w:val="0"/>
        <w:spacing w:after="0" w:line="276" w:lineRule="auto"/>
        <w:ind w:left="709" w:hanging="283"/>
        <w:jc w:val="both"/>
        <w:rPr>
          <w:rFonts w:ascii="Times New Roman" w:hAnsi="Times New Roman" w:cs="Times New Roman"/>
          <w:sz w:val="24"/>
          <w:szCs w:val="24"/>
        </w:rPr>
      </w:pPr>
      <w:r w:rsidRPr="00213798">
        <w:rPr>
          <w:rFonts w:ascii="Times New Roman" w:hAnsi="Times New Roman" w:cs="Times New Roman"/>
          <w:sz w:val="24"/>
          <w:szCs w:val="24"/>
        </w:rPr>
        <w:lastRenderedPageBreak/>
        <w:t xml:space="preserve">Prowadzenie monitoringu zanieczyszczeń środowiska i wprowadzanie regulacji ograniczających zanieczyszczanie </w:t>
      </w:r>
    </w:p>
    <w:p w14:paraId="7CF71625" w14:textId="77777777" w:rsidR="00EF1A17" w:rsidRPr="00213798" w:rsidRDefault="00EF1A17" w:rsidP="00D93FA5">
      <w:pPr>
        <w:numPr>
          <w:ilvl w:val="0"/>
          <w:numId w:val="66"/>
        </w:numPr>
        <w:autoSpaceDE w:val="0"/>
        <w:autoSpaceDN w:val="0"/>
        <w:adjustRightInd w:val="0"/>
        <w:spacing w:after="0" w:line="276" w:lineRule="auto"/>
        <w:ind w:left="709" w:hanging="283"/>
        <w:jc w:val="both"/>
        <w:rPr>
          <w:rFonts w:ascii="Times New Roman" w:hAnsi="Times New Roman" w:cs="Times New Roman"/>
          <w:sz w:val="24"/>
          <w:szCs w:val="24"/>
        </w:rPr>
      </w:pPr>
      <w:r w:rsidRPr="00213798">
        <w:rPr>
          <w:rFonts w:ascii="Times New Roman" w:hAnsi="Times New Roman" w:cs="Times New Roman"/>
          <w:sz w:val="24"/>
          <w:szCs w:val="24"/>
        </w:rPr>
        <w:t xml:space="preserve">Prowadzenie działań na rzecz zapewnienia dobrego stanu wód, w tym rozbudowa i modernizacja infrastruktury wodno-kanalizacyjnej i systemów oczyszczania ścieków </w:t>
      </w:r>
    </w:p>
    <w:p w14:paraId="2E197D35"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22E52629"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Podnoszenie efektywności energetycznej </w:t>
      </w:r>
    </w:p>
    <w:p w14:paraId="4BF5A672" w14:textId="77777777" w:rsidR="00EF1A17" w:rsidRPr="00213798" w:rsidRDefault="00EF1A17" w:rsidP="00D93FA5">
      <w:pPr>
        <w:numPr>
          <w:ilvl w:val="0"/>
          <w:numId w:val="67"/>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Wdrażanie w przedsiębiorstwach systemów ekozarządzania i energooszczędnych technologii produkcji </w:t>
      </w:r>
    </w:p>
    <w:p w14:paraId="29FF3C0E" w14:textId="77777777" w:rsidR="00EF1A17" w:rsidRPr="00213798" w:rsidRDefault="00EF1A17" w:rsidP="00D93FA5">
      <w:pPr>
        <w:numPr>
          <w:ilvl w:val="0"/>
          <w:numId w:val="67"/>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Upowszechnianie energooszczędnego i pasywnego budownictwa </w:t>
      </w:r>
    </w:p>
    <w:p w14:paraId="3FAFBA5B" w14:textId="77777777" w:rsidR="00EF1A17" w:rsidRPr="00213798" w:rsidRDefault="00EF1A17" w:rsidP="00D93FA5">
      <w:pPr>
        <w:numPr>
          <w:ilvl w:val="0"/>
          <w:numId w:val="67"/>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 xml:space="preserve">Kompleksowa termomodernizacja budynków </w:t>
      </w:r>
    </w:p>
    <w:p w14:paraId="538D03A8" w14:textId="77777777" w:rsidR="00EF1A17" w:rsidRPr="00213798" w:rsidRDefault="00EF1A17" w:rsidP="00D93FA5">
      <w:pPr>
        <w:numPr>
          <w:ilvl w:val="0"/>
          <w:numId w:val="67"/>
        </w:numPr>
        <w:autoSpaceDE w:val="0"/>
        <w:autoSpaceDN w:val="0"/>
        <w:adjustRightInd w:val="0"/>
        <w:spacing w:after="0" w:line="276" w:lineRule="auto"/>
        <w:ind w:left="709"/>
        <w:jc w:val="both"/>
        <w:rPr>
          <w:rFonts w:ascii="Times New Roman" w:hAnsi="Times New Roman" w:cs="Times New Roman"/>
          <w:sz w:val="24"/>
          <w:szCs w:val="24"/>
        </w:rPr>
      </w:pPr>
      <w:r w:rsidRPr="00213798">
        <w:rPr>
          <w:rFonts w:ascii="Times New Roman" w:hAnsi="Times New Roman" w:cs="Times New Roman"/>
          <w:sz w:val="24"/>
          <w:szCs w:val="24"/>
        </w:rPr>
        <w:t>Wymiana nieefektywnych źródeł ciepła na ekologiczne</w:t>
      </w:r>
    </w:p>
    <w:p w14:paraId="6DF24EF5" w14:textId="77777777" w:rsidR="00D93FA5" w:rsidRDefault="00D93FA5" w:rsidP="00D93FA5">
      <w:pPr>
        <w:autoSpaceDE w:val="0"/>
        <w:autoSpaceDN w:val="0"/>
        <w:adjustRightInd w:val="0"/>
        <w:spacing w:after="0"/>
        <w:jc w:val="both"/>
        <w:rPr>
          <w:rFonts w:ascii="Times New Roman" w:hAnsi="Times New Roman" w:cs="Times New Roman"/>
          <w:b/>
          <w:bCs/>
          <w:color w:val="000000"/>
          <w:sz w:val="24"/>
          <w:szCs w:val="24"/>
        </w:rPr>
      </w:pPr>
    </w:p>
    <w:p w14:paraId="4246A87D" w14:textId="77777777" w:rsidR="00D93FA5" w:rsidRDefault="00D93FA5" w:rsidP="00D93FA5">
      <w:pPr>
        <w:autoSpaceDE w:val="0"/>
        <w:autoSpaceDN w:val="0"/>
        <w:adjustRightInd w:val="0"/>
        <w:spacing w:after="0"/>
        <w:jc w:val="both"/>
        <w:rPr>
          <w:rFonts w:ascii="Times New Roman" w:hAnsi="Times New Roman" w:cs="Times New Roman"/>
          <w:b/>
          <w:bCs/>
          <w:color w:val="000000"/>
          <w:sz w:val="24"/>
          <w:szCs w:val="24"/>
        </w:rPr>
      </w:pPr>
    </w:p>
    <w:tbl>
      <w:tblPr>
        <w:tblStyle w:val="Tabela-Siatka"/>
        <w:tblW w:w="0" w:type="auto"/>
        <w:shd w:val="clear" w:color="auto" w:fill="D9E2F3" w:themeFill="accent1" w:themeFillTint="33"/>
        <w:tblLook w:val="04A0" w:firstRow="1" w:lastRow="0" w:firstColumn="1" w:lastColumn="0" w:noHBand="0" w:noVBand="1"/>
      </w:tblPr>
      <w:tblGrid>
        <w:gridCol w:w="9060"/>
      </w:tblGrid>
      <w:tr w:rsidR="00F9788E" w:rsidRPr="00F9788E" w14:paraId="53E5A5CD" w14:textId="77777777" w:rsidTr="00F9788E">
        <w:tc>
          <w:tcPr>
            <w:tcW w:w="9060" w:type="dxa"/>
            <w:shd w:val="clear" w:color="auto" w:fill="D9E2F3" w:themeFill="accent1" w:themeFillTint="33"/>
          </w:tcPr>
          <w:p w14:paraId="4A024388" w14:textId="77777777" w:rsidR="00F9788E" w:rsidRPr="00F9788E" w:rsidRDefault="00F9788E" w:rsidP="00D3674A">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Obszar: Społeczeństwo,</w:t>
            </w:r>
          </w:p>
        </w:tc>
      </w:tr>
      <w:tr w:rsidR="00F9788E" w:rsidRPr="00F9788E" w14:paraId="77D7D8CC" w14:textId="77777777" w:rsidTr="00F9788E">
        <w:tc>
          <w:tcPr>
            <w:tcW w:w="9060" w:type="dxa"/>
            <w:shd w:val="clear" w:color="auto" w:fill="D9E2F3" w:themeFill="accent1" w:themeFillTint="33"/>
          </w:tcPr>
          <w:p w14:paraId="2C168ACE" w14:textId="313C767A" w:rsidR="00F9788E" w:rsidRPr="00F9788E" w:rsidRDefault="00F9788E" w:rsidP="00F9788E">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 xml:space="preserve">Cel: </w:t>
            </w:r>
            <w:r w:rsidRPr="00F9788E">
              <w:rPr>
                <w:rFonts w:ascii="Times New Roman" w:hAnsi="Times New Roman" w:cs="Times New Roman"/>
                <w:b/>
                <w:color w:val="000000"/>
                <w:sz w:val="24"/>
                <w:szCs w:val="24"/>
              </w:rPr>
              <w:t>Mazowsze zintegrowane Społecznie</w:t>
            </w:r>
            <w:r>
              <w:rPr>
                <w:rFonts w:ascii="Times New Roman" w:hAnsi="Times New Roman" w:cs="Times New Roman"/>
                <w:b/>
                <w:color w:val="000000"/>
                <w:sz w:val="24"/>
                <w:szCs w:val="24"/>
              </w:rPr>
              <w:t xml:space="preserve"> - </w:t>
            </w:r>
            <w:r w:rsidRPr="00213798">
              <w:rPr>
                <w:rFonts w:ascii="Times New Roman" w:hAnsi="Times New Roman" w:cs="Times New Roman"/>
                <w:bCs/>
                <w:color w:val="000000"/>
                <w:sz w:val="24"/>
                <w:szCs w:val="24"/>
              </w:rPr>
              <w:t>Poprawa jakości i dostępności do usług społecznych oraz wzmocnienie kapitału ludzkiego i społecznego w ramach nowoczesnej gospodarki</w:t>
            </w:r>
          </w:p>
        </w:tc>
      </w:tr>
    </w:tbl>
    <w:p w14:paraId="684C73F7" w14:textId="2DC5BF9B" w:rsidR="00EF1A17" w:rsidRDefault="00F9788E" w:rsidP="00F9788E">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Kierunki działań i działania: </w:t>
      </w:r>
    </w:p>
    <w:p w14:paraId="16545A9A" w14:textId="77777777" w:rsidR="00F9788E" w:rsidRPr="00213798" w:rsidRDefault="00F9788E" w:rsidP="00F9788E">
      <w:pPr>
        <w:autoSpaceDE w:val="0"/>
        <w:autoSpaceDN w:val="0"/>
        <w:adjustRightInd w:val="0"/>
        <w:spacing w:after="0"/>
        <w:jc w:val="both"/>
        <w:rPr>
          <w:rFonts w:ascii="Times New Roman" w:hAnsi="Times New Roman" w:cs="Times New Roman"/>
          <w:color w:val="000000"/>
          <w:sz w:val="24"/>
          <w:szCs w:val="24"/>
        </w:rPr>
      </w:pPr>
    </w:p>
    <w:p w14:paraId="5809C589" w14:textId="77777777" w:rsidR="00EF1A17" w:rsidRPr="00213798" w:rsidRDefault="00EF1A17">
      <w:pPr>
        <w:pStyle w:val="Default"/>
        <w:numPr>
          <w:ilvl w:val="0"/>
          <w:numId w:val="65"/>
        </w:numPr>
        <w:spacing w:line="276" w:lineRule="auto"/>
        <w:jc w:val="both"/>
        <w:rPr>
          <w:rFonts w:ascii="Times New Roman" w:hAnsi="Times New Roman" w:cs="Times New Roman"/>
        </w:rPr>
      </w:pPr>
      <w:r w:rsidRPr="00213798">
        <w:rPr>
          <w:rFonts w:ascii="Times New Roman" w:hAnsi="Times New Roman" w:cs="Times New Roman"/>
        </w:rPr>
        <w:t xml:space="preserve">Rozwój kapitału ludzkiego i społecznego </w:t>
      </w:r>
    </w:p>
    <w:p w14:paraId="09EC0DD0"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Rozwój potencjału dydaktycznego oraz naukowo-badawczego uczelni wyższych i jedno</w:t>
      </w:r>
      <w:r w:rsidRPr="00213798">
        <w:rPr>
          <w:rFonts w:ascii="Times New Roman" w:hAnsi="Times New Roman" w:cs="Times New Roman"/>
          <w:color w:val="000000"/>
          <w:sz w:val="24"/>
          <w:szCs w:val="24"/>
        </w:rPr>
        <w:softHyphen/>
        <w:t xml:space="preserve">stek naukowych, w tym zwłaszcza kształcących w dziedzinach nowoczesnej gospodarki </w:t>
      </w:r>
    </w:p>
    <w:p w14:paraId="3FDA8D66"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kształcenia (w tym dualnego) i doradztwa edukacyjno-zawodowego młodzieży </w:t>
      </w:r>
    </w:p>
    <w:p w14:paraId="3E6F5BAB"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uczenia się przez całe życie oraz podnoszenie umiejętności i kwalifikacji zawodowych </w:t>
      </w:r>
    </w:p>
    <w:p w14:paraId="511C9240"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rozwoju społeczeństwa obywatelskiego i kształtowanie postaw prospołecznych </w:t>
      </w:r>
    </w:p>
    <w:p w14:paraId="50238701"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Dostosowywanie kierunków kształcenia i szkoleń do potrzeb rynku pracy, z uwzględnie</w:t>
      </w:r>
      <w:r w:rsidRPr="00213798">
        <w:rPr>
          <w:rFonts w:ascii="Times New Roman" w:hAnsi="Times New Roman" w:cs="Times New Roman"/>
          <w:color w:val="000000"/>
          <w:sz w:val="24"/>
          <w:szCs w:val="24"/>
        </w:rPr>
        <w:softHyphen/>
        <w:t xml:space="preserve">niem umiejętności przekrojowych </w:t>
      </w:r>
    </w:p>
    <w:p w14:paraId="7DFEFE76"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edukacji dzieci i młodzieży szczególnie uzdolnionej </w:t>
      </w:r>
    </w:p>
    <w:p w14:paraId="3A74F18C"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rozwoju kształcenia uczniów o specjalnych potrzebach edukacyjnych </w:t>
      </w:r>
    </w:p>
    <w:p w14:paraId="33636B4A"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poradnictwa specjalistycznego i terapeutycznego </w:t>
      </w:r>
    </w:p>
    <w:p w14:paraId="0817D126"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Podnoszenie umiejętności cyfrowych mieszkańców województwa </w:t>
      </w:r>
    </w:p>
    <w:p w14:paraId="14BF5B6D"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Rozwój systemu nauczania wykorzystującego technologie cyfrowe (e-kształcenie) oraz innowacyjne metody nauczania </w:t>
      </w:r>
    </w:p>
    <w:p w14:paraId="0C23160E" w14:textId="77777777" w:rsidR="00EF1A17" w:rsidRPr="00213798" w:rsidRDefault="00EF1A17" w:rsidP="00D93FA5">
      <w:pPr>
        <w:numPr>
          <w:ilvl w:val="0"/>
          <w:numId w:val="68"/>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bezpieczeństwa zdrowotnego mieszkańców </w:t>
      </w:r>
    </w:p>
    <w:p w14:paraId="3911C611"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79E84FBE"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Podnoszenie standardów funkcjonowania infrastruktury społecznej oraz zmniejszenie różnic w dostępie do świadczeń zdrowotnych i opiekuńczych </w:t>
      </w:r>
    </w:p>
    <w:p w14:paraId="6048167F" w14:textId="37E11610"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Budowa i rozwój infrastruktury społecznej, w tym o zasięgu regionalnym</w:t>
      </w:r>
    </w:p>
    <w:p w14:paraId="4893E452" w14:textId="51183B8E"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Rozwój specjalistycznej opieki zdrowotnej ze szczególnym uwzględnieniem chorób cywilizacyjnych i opieki geriatrycznej</w:t>
      </w:r>
    </w:p>
    <w:p w14:paraId="6CAB03FD" w14:textId="29B184F6"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lastRenderedPageBreak/>
        <w:t>Kształtowanie warunków sprzyjających aktywności fizycznej mieszkańców</w:t>
      </w:r>
    </w:p>
    <w:p w14:paraId="77C4F7D1" w14:textId="1A46AB0F"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Wspieranie profilaktyki i promocji zdrowia</w:t>
      </w:r>
    </w:p>
    <w:p w14:paraId="5A641751" w14:textId="241D2230"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Poprawa jakości i dostępności oraz rozwój różnych form usług zdrowotnych i społecznych, w tym pielęgnacyjno-opiekuńczych, paliatywno-hospicyjnych i lecznictwa uzdrowiskowego</w:t>
      </w:r>
    </w:p>
    <w:p w14:paraId="4CDF6B25" w14:textId="0CB546B6" w:rsidR="00EF1A17" w:rsidRPr="00213798" w:rsidRDefault="00EF1A17" w:rsidP="00D93FA5">
      <w:pPr>
        <w:numPr>
          <w:ilvl w:val="0"/>
          <w:numId w:val="69"/>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Wspieranie ratownictwa medycznego</w:t>
      </w:r>
    </w:p>
    <w:p w14:paraId="321E59C9"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51674AB6" w14:textId="55F63656"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Aktywizacja społeczno-gospodarcza mieszkańców </w:t>
      </w:r>
    </w:p>
    <w:p w14:paraId="02AA0808" w14:textId="77777777" w:rsidR="00EF1A17" w:rsidRPr="00213798" w:rsidRDefault="00EF1A17" w:rsidP="00D93FA5">
      <w:pPr>
        <w:numPr>
          <w:ilvl w:val="0"/>
          <w:numId w:val="70"/>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 xml:space="preserve">Aktywizacja zawodowa osób w szczególnej sytuacji na rynku pracy, w tym osób sprawujących opiekę nad osobami zależnymi, z niepełnosprawnościami, absolwentów i osób w wieku 50+ </w:t>
      </w:r>
    </w:p>
    <w:p w14:paraId="5002BB33" w14:textId="77777777" w:rsidR="00EF1A17" w:rsidRPr="00213798" w:rsidRDefault="00EF1A17" w:rsidP="00D93FA5">
      <w:pPr>
        <w:numPr>
          <w:ilvl w:val="0"/>
          <w:numId w:val="70"/>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 xml:space="preserve">Upowszechnianie opieki żłobkowej i wychowania przedszkolnego </w:t>
      </w:r>
    </w:p>
    <w:p w14:paraId="13D47863" w14:textId="77777777" w:rsidR="00EF1A17" w:rsidRPr="00213798" w:rsidRDefault="00EF1A17" w:rsidP="00D93FA5">
      <w:pPr>
        <w:numPr>
          <w:ilvl w:val="0"/>
          <w:numId w:val="70"/>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 xml:space="preserve">Wspieranie reorientacji zawodowej osób poszukujących i zmieniających pracę </w:t>
      </w:r>
    </w:p>
    <w:p w14:paraId="591B24D0" w14:textId="77777777" w:rsidR="00EF1A17" w:rsidRPr="00213798" w:rsidRDefault="00EF1A17" w:rsidP="00D93FA5">
      <w:pPr>
        <w:numPr>
          <w:ilvl w:val="0"/>
          <w:numId w:val="70"/>
        </w:numPr>
        <w:autoSpaceDE w:val="0"/>
        <w:autoSpaceDN w:val="0"/>
        <w:adjustRightInd w:val="0"/>
        <w:spacing w:after="0" w:line="276" w:lineRule="auto"/>
        <w:ind w:left="851" w:hanging="284"/>
        <w:jc w:val="both"/>
        <w:rPr>
          <w:rFonts w:ascii="Times New Roman" w:hAnsi="Times New Roman" w:cs="Times New Roman"/>
          <w:sz w:val="24"/>
          <w:szCs w:val="24"/>
        </w:rPr>
      </w:pPr>
      <w:r w:rsidRPr="00213798">
        <w:rPr>
          <w:rFonts w:ascii="Times New Roman" w:hAnsi="Times New Roman" w:cs="Times New Roman"/>
          <w:sz w:val="24"/>
          <w:szCs w:val="24"/>
        </w:rPr>
        <w:t xml:space="preserve">Wspieranie postaw przedsiębiorczych oraz samozatrudnienia </w:t>
      </w:r>
    </w:p>
    <w:p w14:paraId="016017E8" w14:textId="77777777" w:rsidR="00EF1A17" w:rsidRPr="00213798" w:rsidRDefault="00EF1A17" w:rsidP="00D93FA5">
      <w:pPr>
        <w:autoSpaceDE w:val="0"/>
        <w:autoSpaceDN w:val="0"/>
        <w:adjustRightInd w:val="0"/>
        <w:spacing w:after="0"/>
        <w:ind w:left="851" w:hanging="284"/>
        <w:jc w:val="both"/>
        <w:rPr>
          <w:rFonts w:ascii="Times New Roman" w:hAnsi="Times New Roman" w:cs="Times New Roman"/>
          <w:sz w:val="24"/>
          <w:szCs w:val="24"/>
        </w:rPr>
      </w:pPr>
    </w:p>
    <w:p w14:paraId="5E81D8AD"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Rozwój priorytetowych dla województwa dziedzin nauki </w:t>
      </w:r>
    </w:p>
    <w:p w14:paraId="366243EF" w14:textId="77777777" w:rsidR="00EF1A17" w:rsidRPr="00213798" w:rsidRDefault="00EF1A17" w:rsidP="00D93FA5">
      <w:pPr>
        <w:numPr>
          <w:ilvl w:val="0"/>
          <w:numId w:val="71"/>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edukacji, w szczególności w zakresie nauk ścisłych i przyrodniczych, medycznych i nauk o zdrowiu oraz inżynieryjno-technicznych </w:t>
      </w:r>
    </w:p>
    <w:p w14:paraId="72D4FA05" w14:textId="209AE5C2" w:rsidR="00EF1A17" w:rsidRDefault="00EF1A17" w:rsidP="00D93FA5">
      <w:pPr>
        <w:numPr>
          <w:ilvl w:val="0"/>
          <w:numId w:val="71"/>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wysokospecjalistycznych kierunków kształcenia, ze szczególnym uwzględnieniem branż kluczowych dla rozwoju województwa </w:t>
      </w:r>
    </w:p>
    <w:p w14:paraId="716D18AB" w14:textId="77777777" w:rsidR="00D93FA5" w:rsidRPr="00213798" w:rsidRDefault="00D93FA5" w:rsidP="00D93FA5">
      <w:pPr>
        <w:autoSpaceDE w:val="0"/>
        <w:autoSpaceDN w:val="0"/>
        <w:adjustRightInd w:val="0"/>
        <w:spacing w:after="0" w:line="276" w:lineRule="auto"/>
        <w:jc w:val="both"/>
        <w:rPr>
          <w:rFonts w:ascii="Times New Roman" w:hAnsi="Times New Roman" w:cs="Times New Roman"/>
          <w:sz w:val="24"/>
          <w:szCs w:val="24"/>
        </w:rPr>
      </w:pPr>
    </w:p>
    <w:p w14:paraId="6F88759E"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Włączenie i integracja społeczna </w:t>
      </w:r>
    </w:p>
    <w:p w14:paraId="61152C80" w14:textId="77777777" w:rsidR="00EF1A17" w:rsidRPr="00213798" w:rsidRDefault="00EF1A17" w:rsidP="00D93FA5">
      <w:pPr>
        <w:pStyle w:val="Akapitzlist"/>
        <w:numPr>
          <w:ilvl w:val="0"/>
          <w:numId w:val="7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Przeciwdziałanie marginalizacji społecznej, w szczególności osób z niepełnosprawnościami, starszych oraz w trudnej sytuacji życiowej </w:t>
      </w:r>
    </w:p>
    <w:p w14:paraId="04591F51" w14:textId="77777777" w:rsidR="00EF1A17" w:rsidRPr="00213798" w:rsidRDefault="00EF1A17" w:rsidP="00D93FA5">
      <w:pPr>
        <w:pStyle w:val="Akapitzlist"/>
        <w:numPr>
          <w:ilvl w:val="0"/>
          <w:numId w:val="7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Wspomaganie włączenia społecznego i przeciwdziałanie ubóstwu </w:t>
      </w:r>
    </w:p>
    <w:p w14:paraId="6A1320B8" w14:textId="77777777" w:rsidR="00EF1A17" w:rsidRPr="00213798" w:rsidRDefault="00EF1A17" w:rsidP="00D93FA5">
      <w:pPr>
        <w:pStyle w:val="Akapitzlist"/>
        <w:numPr>
          <w:ilvl w:val="0"/>
          <w:numId w:val="72"/>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Wspieranie rozwoju ekonomii społecznej</w:t>
      </w:r>
    </w:p>
    <w:p w14:paraId="6EE93F08" w14:textId="77777777" w:rsidR="00D93FA5" w:rsidRDefault="00D93FA5" w:rsidP="00D93FA5">
      <w:pPr>
        <w:autoSpaceDE w:val="0"/>
        <w:autoSpaceDN w:val="0"/>
        <w:adjustRightInd w:val="0"/>
        <w:spacing w:after="0"/>
        <w:jc w:val="both"/>
        <w:rPr>
          <w:rFonts w:ascii="Times New Roman" w:hAnsi="Times New Roman" w:cs="Times New Roman"/>
          <w:b/>
          <w:bCs/>
          <w:color w:val="000000"/>
          <w:sz w:val="24"/>
          <w:szCs w:val="24"/>
        </w:rPr>
      </w:pPr>
    </w:p>
    <w:p w14:paraId="513806F6" w14:textId="77777777" w:rsidR="00D93FA5" w:rsidRDefault="00D93FA5" w:rsidP="00D93FA5">
      <w:pPr>
        <w:autoSpaceDE w:val="0"/>
        <w:autoSpaceDN w:val="0"/>
        <w:adjustRightInd w:val="0"/>
        <w:spacing w:after="0"/>
        <w:jc w:val="both"/>
        <w:rPr>
          <w:rFonts w:ascii="Times New Roman" w:hAnsi="Times New Roman" w:cs="Times New Roman"/>
          <w:b/>
          <w:bCs/>
          <w:color w:val="000000"/>
          <w:sz w:val="24"/>
          <w:szCs w:val="24"/>
        </w:rPr>
      </w:pPr>
    </w:p>
    <w:tbl>
      <w:tblPr>
        <w:tblStyle w:val="Tabela-Siatka"/>
        <w:tblW w:w="0" w:type="auto"/>
        <w:shd w:val="clear" w:color="auto" w:fill="FBE4D5" w:themeFill="accent2" w:themeFillTint="33"/>
        <w:tblLook w:val="04A0" w:firstRow="1" w:lastRow="0" w:firstColumn="1" w:lastColumn="0" w:noHBand="0" w:noVBand="1"/>
      </w:tblPr>
      <w:tblGrid>
        <w:gridCol w:w="9060"/>
      </w:tblGrid>
      <w:tr w:rsidR="00F9788E" w:rsidRPr="00F9788E" w14:paraId="7BBD901B" w14:textId="77777777" w:rsidTr="00F9788E">
        <w:tc>
          <w:tcPr>
            <w:tcW w:w="9060" w:type="dxa"/>
            <w:shd w:val="clear" w:color="auto" w:fill="D9E2F3" w:themeFill="accent1" w:themeFillTint="33"/>
          </w:tcPr>
          <w:p w14:paraId="72B097D4" w14:textId="77777777" w:rsidR="00F9788E" w:rsidRPr="00F9788E" w:rsidRDefault="00F9788E" w:rsidP="00A70199">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Obszar: Kultura i dziedzictwo</w:t>
            </w:r>
          </w:p>
        </w:tc>
      </w:tr>
      <w:tr w:rsidR="00F9788E" w:rsidRPr="00F9788E" w14:paraId="03606E83" w14:textId="77777777" w:rsidTr="00F9788E">
        <w:tc>
          <w:tcPr>
            <w:tcW w:w="9060" w:type="dxa"/>
            <w:shd w:val="clear" w:color="auto" w:fill="D9E2F3" w:themeFill="accent1" w:themeFillTint="33"/>
          </w:tcPr>
          <w:p w14:paraId="324E5D5C" w14:textId="6C7C7251" w:rsidR="00F9788E" w:rsidRPr="00F9788E" w:rsidRDefault="00F9788E" w:rsidP="00A70199">
            <w:pPr>
              <w:autoSpaceDE w:val="0"/>
              <w:autoSpaceDN w:val="0"/>
              <w:adjustRightInd w:val="0"/>
              <w:jc w:val="both"/>
              <w:rPr>
                <w:rFonts w:ascii="Times New Roman" w:hAnsi="Times New Roman" w:cs="Times New Roman"/>
                <w:bCs/>
                <w:color w:val="000000"/>
                <w:sz w:val="24"/>
                <w:szCs w:val="24"/>
              </w:rPr>
            </w:pPr>
            <w:r w:rsidRPr="00F9788E">
              <w:rPr>
                <w:rFonts w:ascii="Times New Roman" w:hAnsi="Times New Roman" w:cs="Times New Roman"/>
                <w:bCs/>
                <w:color w:val="000000"/>
                <w:sz w:val="24"/>
                <w:szCs w:val="24"/>
              </w:rPr>
              <w:t xml:space="preserve">Cel: </w:t>
            </w:r>
            <w:r w:rsidRPr="00F9788E">
              <w:rPr>
                <w:rFonts w:ascii="Times New Roman" w:hAnsi="Times New Roman" w:cs="Times New Roman"/>
                <w:b/>
                <w:color w:val="000000"/>
                <w:sz w:val="24"/>
                <w:szCs w:val="24"/>
              </w:rPr>
              <w:t>Mazowsze bogate kulturowo</w:t>
            </w:r>
            <w:r>
              <w:rPr>
                <w:rFonts w:ascii="Times New Roman" w:hAnsi="Times New Roman" w:cs="Times New Roman"/>
                <w:b/>
                <w:color w:val="000000"/>
                <w:sz w:val="24"/>
                <w:szCs w:val="24"/>
              </w:rPr>
              <w:t xml:space="preserve">- </w:t>
            </w:r>
            <w:r w:rsidRPr="00213798">
              <w:rPr>
                <w:rFonts w:ascii="Times New Roman" w:hAnsi="Times New Roman" w:cs="Times New Roman"/>
                <w:bCs/>
                <w:color w:val="000000"/>
                <w:sz w:val="24"/>
                <w:szCs w:val="24"/>
              </w:rPr>
              <w:t>Wykorzystanie walorów środowiska przyrodniczego oraz potencjału kulturowego i turystycznego dla rozwoju województwa i poprawy jakości życia</w:t>
            </w:r>
          </w:p>
        </w:tc>
      </w:tr>
    </w:tbl>
    <w:p w14:paraId="166C5C59" w14:textId="38E7405B" w:rsidR="00EF1A17" w:rsidRDefault="00F9788E" w:rsidP="00F9788E">
      <w:pPr>
        <w:autoSpaceDE w:val="0"/>
        <w:autoSpaceDN w:val="0"/>
        <w:adjustRightInd w:val="0"/>
        <w:spacing w:after="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Kierunki działań i działania:</w:t>
      </w:r>
    </w:p>
    <w:p w14:paraId="1A9CC451" w14:textId="77777777" w:rsidR="00F9788E" w:rsidRPr="00213798" w:rsidRDefault="00F9788E" w:rsidP="00F9788E">
      <w:pPr>
        <w:autoSpaceDE w:val="0"/>
        <w:autoSpaceDN w:val="0"/>
        <w:adjustRightInd w:val="0"/>
        <w:spacing w:after="0"/>
        <w:jc w:val="both"/>
        <w:rPr>
          <w:rFonts w:ascii="Times New Roman" w:hAnsi="Times New Roman" w:cs="Times New Roman"/>
          <w:color w:val="000000"/>
          <w:sz w:val="24"/>
          <w:szCs w:val="24"/>
        </w:rPr>
      </w:pPr>
    </w:p>
    <w:p w14:paraId="561F8DDC" w14:textId="77777777" w:rsidR="00EF1A17" w:rsidRPr="00213798" w:rsidRDefault="00EF1A17">
      <w:pPr>
        <w:pStyle w:val="Default"/>
        <w:numPr>
          <w:ilvl w:val="0"/>
          <w:numId w:val="65"/>
        </w:numPr>
        <w:spacing w:line="276" w:lineRule="auto"/>
        <w:jc w:val="both"/>
        <w:rPr>
          <w:rFonts w:ascii="Times New Roman" w:hAnsi="Times New Roman" w:cs="Times New Roman"/>
        </w:rPr>
      </w:pPr>
      <w:r w:rsidRPr="00213798">
        <w:rPr>
          <w:rFonts w:ascii="Times New Roman" w:hAnsi="Times New Roman" w:cs="Times New Roman"/>
        </w:rPr>
        <w:t xml:space="preserve">Ochrona i wykorzystanie zasobów dziedzictwa kulturowego </w:t>
      </w:r>
    </w:p>
    <w:p w14:paraId="13920E5C" w14:textId="77777777" w:rsidR="00EF1A17" w:rsidRPr="00213798" w:rsidRDefault="00EF1A17" w:rsidP="00D93FA5">
      <w:pPr>
        <w:numPr>
          <w:ilvl w:val="0"/>
          <w:numId w:val="7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Wspieranie prac konserwatorskich (w tym restauratorskich, renowacyjnych, rewaloryzacyjnych), rewitalizacja obiektów i obszarów zabytkowych oraz kulturowych </w:t>
      </w:r>
    </w:p>
    <w:p w14:paraId="653DA64D" w14:textId="77777777" w:rsidR="00EF1A17" w:rsidRPr="00213798" w:rsidRDefault="00EF1A17" w:rsidP="00D93FA5">
      <w:pPr>
        <w:numPr>
          <w:ilvl w:val="0"/>
          <w:numId w:val="7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Adaptacja obiektów zabytkowych do nowych funkcji, w tym kulturalnych, turystycznych i społecznych </w:t>
      </w:r>
    </w:p>
    <w:p w14:paraId="0921D1BC" w14:textId="77777777" w:rsidR="00EF1A17" w:rsidRPr="00213798" w:rsidRDefault="00EF1A17" w:rsidP="00D93FA5">
      <w:pPr>
        <w:numPr>
          <w:ilvl w:val="0"/>
          <w:numId w:val="73"/>
        </w:numPr>
        <w:autoSpaceDE w:val="0"/>
        <w:autoSpaceDN w:val="0"/>
        <w:adjustRightInd w:val="0"/>
        <w:spacing w:after="0" w:line="276" w:lineRule="auto"/>
        <w:ind w:left="851"/>
        <w:jc w:val="both"/>
        <w:rPr>
          <w:rFonts w:ascii="Times New Roman" w:hAnsi="Times New Roman" w:cs="Times New Roman"/>
          <w:color w:val="000000"/>
          <w:sz w:val="24"/>
          <w:szCs w:val="24"/>
        </w:rPr>
      </w:pPr>
      <w:r w:rsidRPr="00213798">
        <w:rPr>
          <w:rFonts w:ascii="Times New Roman" w:hAnsi="Times New Roman" w:cs="Times New Roman"/>
          <w:color w:val="000000"/>
          <w:sz w:val="24"/>
          <w:szCs w:val="24"/>
        </w:rPr>
        <w:t xml:space="preserve">Inwentaryzacja i digitalizacja zasobów dziedzictwa kulturowego </w:t>
      </w:r>
    </w:p>
    <w:p w14:paraId="7177D324"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1CEBEE9C"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Wykorzystanie walorów środowiska przyrodniczego, potencjału kulturowego </w:t>
      </w:r>
    </w:p>
    <w:p w14:paraId="222DAB1E"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r w:rsidRPr="00213798">
        <w:rPr>
          <w:rFonts w:ascii="Times New Roman" w:hAnsi="Times New Roman" w:cs="Times New Roman"/>
          <w:sz w:val="24"/>
          <w:szCs w:val="24"/>
        </w:rPr>
        <w:t xml:space="preserve">i turystycznego dla rozwoju gospodarczego i promocji województwa </w:t>
      </w:r>
    </w:p>
    <w:p w14:paraId="4D0A6C93"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lastRenderedPageBreak/>
        <w:t xml:space="preserve">Zwiększenie atrakcyjności turystycznej w oparciu o walory kulturowe i przyrodnicze </w:t>
      </w:r>
    </w:p>
    <w:p w14:paraId="23F4129B"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Rozwój infrastruktury turystycznej i okołoturystycznej </w:t>
      </w:r>
    </w:p>
    <w:p w14:paraId="657A778F"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rozwoju różnych form turystyki, produktów oraz wydarzeń turystycznych </w:t>
      </w:r>
    </w:p>
    <w:p w14:paraId="26498C15"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działalności stowarzyszeń i organizacji, w tym o znaczeniu międzynarodowym </w:t>
      </w:r>
    </w:p>
    <w:p w14:paraId="6E8FC104"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Ochrona, pielęgnowanie i promowanie spuścizny kulturowej (materialnej i niematerialnej), w tym podnoszenie świadomości kulturowej </w:t>
      </w:r>
    </w:p>
    <w:p w14:paraId="1BECA9EC"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Kreowanie ośrodków i kształtowanie regionalnej tożsamości kulturowej </w:t>
      </w:r>
    </w:p>
    <w:p w14:paraId="613F72C3"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i promocja różnorodności kulturowej </w:t>
      </w:r>
    </w:p>
    <w:p w14:paraId="5A228D3D" w14:textId="77777777" w:rsidR="00EF1A17" w:rsidRPr="00213798" w:rsidRDefault="00EF1A17" w:rsidP="00D93FA5">
      <w:pPr>
        <w:numPr>
          <w:ilvl w:val="0"/>
          <w:numId w:val="74"/>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przedsiębiorczości i współpracy w obszarze kultury, dziedzictwa kulturowego i turystyki </w:t>
      </w:r>
    </w:p>
    <w:p w14:paraId="7A91344C"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2F905154"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Upowszechnianie kultury i twórczości </w:t>
      </w:r>
    </w:p>
    <w:p w14:paraId="4E8CD7F6" w14:textId="77777777" w:rsidR="00EF1A17" w:rsidRPr="00213798" w:rsidRDefault="00EF1A17" w:rsidP="00D93FA5">
      <w:pPr>
        <w:numPr>
          <w:ilvl w:val="0"/>
          <w:numId w:val="75"/>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Rozwój infrastruktury kultury, wydarzeń i projektów kulturalnych </w:t>
      </w:r>
    </w:p>
    <w:p w14:paraId="0C45C70C" w14:textId="77777777" w:rsidR="00EF1A17" w:rsidRPr="00213798" w:rsidRDefault="00EF1A17" w:rsidP="00D93FA5">
      <w:pPr>
        <w:numPr>
          <w:ilvl w:val="0"/>
          <w:numId w:val="75"/>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rozwoju edukacji kulturalnej i artystycznej </w:t>
      </w:r>
    </w:p>
    <w:p w14:paraId="6BF1C031" w14:textId="77777777" w:rsidR="00EF1A17" w:rsidRPr="00213798" w:rsidRDefault="00EF1A17" w:rsidP="00D93FA5">
      <w:pPr>
        <w:numPr>
          <w:ilvl w:val="0"/>
          <w:numId w:val="75"/>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rozwoju przemysłu kreatywnego </w:t>
      </w:r>
    </w:p>
    <w:p w14:paraId="346717C8" w14:textId="77777777" w:rsidR="00EF1A17" w:rsidRPr="00213798" w:rsidRDefault="00EF1A17" w:rsidP="00D93FA5">
      <w:pPr>
        <w:numPr>
          <w:ilvl w:val="0"/>
          <w:numId w:val="75"/>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Wzmacnianie uczestnictwa w kulturze, w tym poprzez technologię cyfrową (e-kultura, digitalizacja) </w:t>
      </w:r>
    </w:p>
    <w:p w14:paraId="7208106C" w14:textId="77777777" w:rsidR="00EF1A17" w:rsidRPr="00213798" w:rsidRDefault="00EF1A17" w:rsidP="00EF1A17">
      <w:pPr>
        <w:autoSpaceDE w:val="0"/>
        <w:autoSpaceDN w:val="0"/>
        <w:adjustRightInd w:val="0"/>
        <w:spacing w:after="0"/>
        <w:jc w:val="both"/>
        <w:rPr>
          <w:rFonts w:ascii="Times New Roman" w:hAnsi="Times New Roman" w:cs="Times New Roman"/>
          <w:sz w:val="24"/>
          <w:szCs w:val="24"/>
        </w:rPr>
      </w:pPr>
    </w:p>
    <w:p w14:paraId="3A6AE4FD" w14:textId="77777777" w:rsidR="00EF1A17" w:rsidRPr="00213798" w:rsidRDefault="00EF1A17">
      <w:pPr>
        <w:pStyle w:val="Akapitzlist"/>
        <w:numPr>
          <w:ilvl w:val="0"/>
          <w:numId w:val="65"/>
        </w:numPr>
        <w:autoSpaceDE w:val="0"/>
        <w:autoSpaceDN w:val="0"/>
        <w:adjustRightInd w:val="0"/>
        <w:spacing w:after="0" w:line="276" w:lineRule="auto"/>
        <w:jc w:val="both"/>
        <w:rPr>
          <w:rFonts w:ascii="Times New Roman" w:hAnsi="Times New Roman" w:cs="Times New Roman"/>
          <w:sz w:val="24"/>
          <w:szCs w:val="24"/>
        </w:rPr>
      </w:pPr>
      <w:r w:rsidRPr="00213798">
        <w:rPr>
          <w:rFonts w:ascii="Times New Roman" w:hAnsi="Times New Roman" w:cs="Times New Roman"/>
          <w:sz w:val="24"/>
          <w:szCs w:val="24"/>
        </w:rPr>
        <w:t xml:space="preserve">Kreowanie miast i wsi jako centrów aktywności kulturalnej i turystycznej </w:t>
      </w:r>
    </w:p>
    <w:p w14:paraId="31DF8B2A" w14:textId="77777777" w:rsidR="00EF1A17" w:rsidRPr="00213798" w:rsidRDefault="00EF1A17" w:rsidP="00D93FA5">
      <w:pPr>
        <w:numPr>
          <w:ilvl w:val="0"/>
          <w:numId w:val="76"/>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Wspieranie ośrodków miejskich i wiejskich w upowszechnianiu potencjału kultury wraz z rozwojem funkcji turystycznych </w:t>
      </w:r>
    </w:p>
    <w:p w14:paraId="67EA8825" w14:textId="77777777" w:rsidR="00EF1A17" w:rsidRPr="00213798" w:rsidRDefault="00EF1A17" w:rsidP="00D93FA5">
      <w:pPr>
        <w:numPr>
          <w:ilvl w:val="0"/>
          <w:numId w:val="76"/>
        </w:numPr>
        <w:autoSpaceDE w:val="0"/>
        <w:autoSpaceDN w:val="0"/>
        <w:adjustRightInd w:val="0"/>
        <w:spacing w:after="0" w:line="276" w:lineRule="auto"/>
        <w:ind w:left="851"/>
        <w:jc w:val="both"/>
        <w:rPr>
          <w:rFonts w:ascii="Times New Roman" w:hAnsi="Times New Roman" w:cs="Times New Roman"/>
          <w:sz w:val="24"/>
          <w:szCs w:val="24"/>
        </w:rPr>
      </w:pPr>
      <w:r w:rsidRPr="00213798">
        <w:rPr>
          <w:rFonts w:ascii="Times New Roman" w:hAnsi="Times New Roman" w:cs="Times New Roman"/>
          <w:sz w:val="24"/>
          <w:szCs w:val="24"/>
        </w:rPr>
        <w:t xml:space="preserve">Promowanie potencjału kulturowego Warszawy </w:t>
      </w:r>
    </w:p>
    <w:p w14:paraId="7EDA3AA6" w14:textId="01DCAE7F" w:rsidR="00EF1A17" w:rsidRDefault="00EF1A17" w:rsidP="000C1E4C">
      <w:pPr>
        <w:rPr>
          <w:rFonts w:ascii="Times New Roman" w:hAnsi="Times New Roman" w:cs="Times New Roman"/>
        </w:rPr>
      </w:pPr>
    </w:p>
    <w:p w14:paraId="0A1EF18B" w14:textId="4E85B915" w:rsidR="003B6DC7" w:rsidRDefault="003B6DC7" w:rsidP="003B6DC7">
      <w:pPr>
        <w:autoSpaceDE w:val="0"/>
        <w:autoSpaceDN w:val="0"/>
        <w:adjustRightInd w:val="0"/>
        <w:spacing w:after="0" w:line="276" w:lineRule="auto"/>
        <w:jc w:val="both"/>
        <w:rPr>
          <w:rFonts w:ascii="Times New Roman" w:hAnsi="Times New Roman" w:cs="Times New Roman"/>
          <w:sz w:val="24"/>
          <w:szCs w:val="24"/>
        </w:rPr>
      </w:pPr>
      <w:bookmarkStart w:id="39" w:name="_Hlk119636037"/>
      <w:r w:rsidRPr="003B6DC7">
        <w:rPr>
          <w:rFonts w:ascii="Times New Roman" w:hAnsi="Times New Roman" w:cs="Times New Roman"/>
          <w:sz w:val="24"/>
          <w:szCs w:val="24"/>
        </w:rPr>
        <w:t xml:space="preserve">Tabela 5. Cele strategii rozwoju opracowane dla </w:t>
      </w:r>
      <w:r w:rsidR="000915EA">
        <w:rPr>
          <w:rFonts w:ascii="Times New Roman" w:hAnsi="Times New Roman" w:cs="Times New Roman"/>
          <w:sz w:val="24"/>
          <w:szCs w:val="24"/>
        </w:rPr>
        <w:t xml:space="preserve">Miasta i </w:t>
      </w:r>
      <w:r w:rsidRPr="003B6DC7">
        <w:rPr>
          <w:rFonts w:ascii="Times New Roman" w:hAnsi="Times New Roman" w:cs="Times New Roman"/>
          <w:sz w:val="24"/>
          <w:szCs w:val="24"/>
        </w:rPr>
        <w:t xml:space="preserve">Gminy Kalwaria w kontekście zapisów strategii rozwoju województwa mazowieckiego </w:t>
      </w:r>
    </w:p>
    <w:p w14:paraId="7B1A3870" w14:textId="77777777" w:rsidR="000915EA" w:rsidRDefault="000915EA" w:rsidP="003B6DC7">
      <w:pPr>
        <w:autoSpaceDE w:val="0"/>
        <w:autoSpaceDN w:val="0"/>
        <w:adjustRightInd w:val="0"/>
        <w:spacing w:after="0" w:line="276"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3539"/>
        <w:gridCol w:w="5521"/>
      </w:tblGrid>
      <w:tr w:rsidR="000915EA" w:rsidRPr="000915EA" w14:paraId="410FC966" w14:textId="77777777" w:rsidTr="00F9788E">
        <w:tc>
          <w:tcPr>
            <w:tcW w:w="9060" w:type="dxa"/>
            <w:gridSpan w:val="2"/>
            <w:shd w:val="clear" w:color="auto" w:fill="D9E2F3" w:themeFill="accent1" w:themeFillTint="33"/>
          </w:tcPr>
          <w:p w14:paraId="5A59C60D"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Cel strategiczny: Gmina dostępna</w:t>
            </w:r>
          </w:p>
        </w:tc>
      </w:tr>
      <w:tr w:rsidR="000915EA" w:rsidRPr="000915EA" w14:paraId="76F2688F" w14:textId="77777777" w:rsidTr="00F9788E">
        <w:tc>
          <w:tcPr>
            <w:tcW w:w="3539" w:type="dxa"/>
            <w:shd w:val="clear" w:color="auto" w:fill="D9E2F3" w:themeFill="accent1" w:themeFillTint="33"/>
          </w:tcPr>
          <w:p w14:paraId="15AE1E61"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Cele operacyjne </w:t>
            </w:r>
          </w:p>
        </w:tc>
        <w:tc>
          <w:tcPr>
            <w:tcW w:w="5521" w:type="dxa"/>
            <w:shd w:val="clear" w:color="auto" w:fill="D9E2F3" w:themeFill="accent1" w:themeFillTint="33"/>
          </w:tcPr>
          <w:p w14:paraId="53D03E49" w14:textId="76DA3556" w:rsidR="000915EA" w:rsidRPr="000915EA" w:rsidRDefault="00EB41D2" w:rsidP="000915EA">
            <w:pPr>
              <w:autoSpaceDE w:val="0"/>
              <w:autoSpaceDN w:val="0"/>
              <w:adjustRightInd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Powiązania </w:t>
            </w:r>
            <w:r w:rsidR="000915EA" w:rsidRPr="000915EA">
              <w:rPr>
                <w:rFonts w:ascii="Times New Roman" w:hAnsi="Times New Roman" w:cs="Times New Roman"/>
                <w:b/>
                <w:bCs/>
                <w:sz w:val="24"/>
                <w:szCs w:val="24"/>
              </w:rPr>
              <w:t xml:space="preserve"> </w:t>
            </w:r>
          </w:p>
        </w:tc>
      </w:tr>
      <w:tr w:rsidR="000915EA" w:rsidRPr="000915EA" w14:paraId="5F3313E2" w14:textId="77777777" w:rsidTr="00F9788E">
        <w:tc>
          <w:tcPr>
            <w:tcW w:w="3539" w:type="dxa"/>
          </w:tcPr>
          <w:p w14:paraId="4CA22152"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rozwój infrastruktury transportowej i zapewnienie mobilności </w:t>
            </w:r>
          </w:p>
        </w:tc>
        <w:tc>
          <w:tcPr>
            <w:tcW w:w="5521" w:type="dxa"/>
          </w:tcPr>
          <w:p w14:paraId="2CD0BEC3" w14:textId="08B3AC67" w:rsidR="000915EA" w:rsidRPr="00EB41D2" w:rsidRDefault="00EB41D2" w:rsidP="00EB41D2">
            <w:pPr>
              <w:pStyle w:val="Akapitzlist"/>
              <w:numPr>
                <w:ilvl w:val="0"/>
                <w:numId w:val="120"/>
              </w:numPr>
              <w:autoSpaceDE w:val="0"/>
              <w:autoSpaceDN w:val="0"/>
              <w:adjustRightInd w:val="0"/>
              <w:jc w:val="both"/>
              <w:rPr>
                <w:rFonts w:ascii="Times New Roman" w:hAnsi="Times New Roman" w:cs="Times New Roman"/>
                <w:color w:val="000000"/>
                <w:sz w:val="24"/>
                <w:szCs w:val="24"/>
              </w:rPr>
            </w:pPr>
            <w:r w:rsidRPr="00EB41D2">
              <w:rPr>
                <w:rFonts w:ascii="Times New Roman" w:hAnsi="Times New Roman" w:cs="Times New Roman"/>
                <w:sz w:val="24"/>
                <w:szCs w:val="24"/>
              </w:rPr>
              <w:t>Obszar dostępność, kierunek działań:</w:t>
            </w:r>
            <w:r w:rsidRPr="00EB41D2">
              <w:rPr>
                <w:rFonts w:ascii="Times New Roman" w:hAnsi="Times New Roman" w:cs="Times New Roman"/>
                <w:color w:val="000000"/>
                <w:sz w:val="24"/>
                <w:szCs w:val="24"/>
              </w:rPr>
              <w:t xml:space="preserve"> Zwiększenie dostępności transportowej i spójności przestrzennej regionu oraz udziału </w:t>
            </w:r>
            <w:r w:rsidRPr="00EB41D2">
              <w:rPr>
                <w:rFonts w:ascii="Times New Roman" w:hAnsi="Times New Roman" w:cs="Times New Roman"/>
              </w:rPr>
              <w:t>środków transportu przyjaznych dla środowiska, mieszkańców i przestrzeni</w:t>
            </w:r>
          </w:p>
        </w:tc>
      </w:tr>
      <w:tr w:rsidR="000915EA" w:rsidRPr="000915EA" w14:paraId="535F225C" w14:textId="77777777" w:rsidTr="00F9788E">
        <w:tc>
          <w:tcPr>
            <w:tcW w:w="3539" w:type="dxa"/>
          </w:tcPr>
          <w:p w14:paraId="458EBC2A"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zapewnienie dostępu do Internetu wysokiej jakości na terenie całej gminy i podnoszenie kompetencji cyfrowych</w:t>
            </w:r>
          </w:p>
        </w:tc>
        <w:tc>
          <w:tcPr>
            <w:tcW w:w="5521" w:type="dxa"/>
          </w:tcPr>
          <w:p w14:paraId="7107CD62" w14:textId="125101A4" w:rsidR="000915EA" w:rsidRPr="000915EA" w:rsidRDefault="004878C1" w:rsidP="00F9788E">
            <w:pPr>
              <w:numPr>
                <w:ilvl w:val="0"/>
                <w:numId w:val="110"/>
              </w:numPr>
              <w:autoSpaceDE w:val="0"/>
              <w:autoSpaceDN w:val="0"/>
              <w:adjustRightInd w:val="0"/>
              <w:spacing w:line="276"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Obszar gospodarka, kierunek działań: zapewnienie powszechnego i bezpiecznego dostępu do Internetu, e-usług i otwartych danych  </w:t>
            </w:r>
            <w:r w:rsidR="000915EA" w:rsidRPr="000915EA">
              <w:rPr>
                <w:rFonts w:ascii="Times New Roman" w:hAnsi="Times New Roman" w:cs="Times New Roman"/>
                <w:sz w:val="24"/>
                <w:szCs w:val="24"/>
              </w:rPr>
              <w:t xml:space="preserve"> </w:t>
            </w:r>
          </w:p>
        </w:tc>
      </w:tr>
      <w:tr w:rsidR="000915EA" w:rsidRPr="000915EA" w14:paraId="78B8F9E3" w14:textId="77777777" w:rsidTr="00F9788E">
        <w:trPr>
          <w:trHeight w:val="552"/>
        </w:trPr>
        <w:tc>
          <w:tcPr>
            <w:tcW w:w="9060" w:type="dxa"/>
            <w:gridSpan w:val="2"/>
            <w:shd w:val="clear" w:color="auto" w:fill="D9E2F3" w:themeFill="accent1" w:themeFillTint="33"/>
          </w:tcPr>
          <w:p w14:paraId="03B603B5"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r w:rsidRPr="000915EA">
              <w:rPr>
                <w:rFonts w:ascii="Times New Roman" w:hAnsi="Times New Roman" w:cs="Times New Roman"/>
                <w:b/>
                <w:bCs/>
                <w:sz w:val="24"/>
                <w:szCs w:val="24"/>
              </w:rPr>
              <w:t>Cel strategiczny:  Gmina atrakcyjna dla mieszkańców i turystów</w:t>
            </w:r>
          </w:p>
        </w:tc>
      </w:tr>
      <w:tr w:rsidR="000915EA" w:rsidRPr="000915EA" w14:paraId="2CB94114" w14:textId="77777777" w:rsidTr="00F9788E">
        <w:trPr>
          <w:trHeight w:val="500"/>
        </w:trPr>
        <w:tc>
          <w:tcPr>
            <w:tcW w:w="3539" w:type="dxa"/>
            <w:shd w:val="clear" w:color="auto" w:fill="D9E2F3" w:themeFill="accent1" w:themeFillTint="33"/>
          </w:tcPr>
          <w:p w14:paraId="6B577013"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Cele operacyjne </w:t>
            </w:r>
          </w:p>
        </w:tc>
        <w:tc>
          <w:tcPr>
            <w:tcW w:w="5521" w:type="dxa"/>
            <w:shd w:val="clear" w:color="auto" w:fill="D9E2F3" w:themeFill="accent1" w:themeFillTint="33"/>
          </w:tcPr>
          <w:p w14:paraId="1473776D" w14:textId="692A5F43" w:rsidR="000915EA" w:rsidRPr="000915EA" w:rsidRDefault="00EB41D2" w:rsidP="000915EA">
            <w:pPr>
              <w:autoSpaceDE w:val="0"/>
              <w:autoSpaceDN w:val="0"/>
              <w:adjustRightInd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Powiązania</w:t>
            </w:r>
            <w:r w:rsidR="000915EA" w:rsidRPr="000915EA">
              <w:rPr>
                <w:rFonts w:ascii="Times New Roman" w:hAnsi="Times New Roman" w:cs="Times New Roman"/>
                <w:b/>
                <w:bCs/>
                <w:sz w:val="24"/>
                <w:szCs w:val="24"/>
              </w:rPr>
              <w:t xml:space="preserve"> </w:t>
            </w:r>
          </w:p>
        </w:tc>
      </w:tr>
      <w:tr w:rsidR="000915EA" w:rsidRPr="000915EA" w14:paraId="7AA86E8D" w14:textId="77777777" w:rsidTr="00F9788E">
        <w:trPr>
          <w:trHeight w:val="1709"/>
        </w:trPr>
        <w:tc>
          <w:tcPr>
            <w:tcW w:w="3539" w:type="dxa"/>
          </w:tcPr>
          <w:p w14:paraId="5A0263BF"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lastRenderedPageBreak/>
              <w:t xml:space="preserve">poszerzenie i uatrakcyjnienie oferty usług publicznych dla różnych grup interesariuszy </w:t>
            </w:r>
          </w:p>
          <w:p w14:paraId="28B97B2B"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r w:rsidRPr="000915EA">
              <w:rPr>
                <w:rFonts w:ascii="Times New Roman" w:hAnsi="Times New Roman" w:cs="Times New Roman"/>
                <w:sz w:val="24"/>
                <w:szCs w:val="24"/>
              </w:rPr>
              <w:t xml:space="preserve"> </w:t>
            </w:r>
          </w:p>
        </w:tc>
        <w:tc>
          <w:tcPr>
            <w:tcW w:w="5521" w:type="dxa"/>
          </w:tcPr>
          <w:p w14:paraId="797AE4CC" w14:textId="4DE012A6" w:rsidR="004878C1" w:rsidRPr="000915EA" w:rsidRDefault="00D93FA5" w:rsidP="000915EA">
            <w:pPr>
              <w:numPr>
                <w:ilvl w:val="0"/>
                <w:numId w:val="114"/>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społeczeństwo, kierunek działań: </w:t>
            </w:r>
            <w:r w:rsidR="004878C1">
              <w:rPr>
                <w:rFonts w:ascii="Times New Roman" w:hAnsi="Times New Roman" w:cs="Times New Roman"/>
                <w:sz w:val="24"/>
                <w:szCs w:val="24"/>
              </w:rPr>
              <w:t xml:space="preserve"> </w:t>
            </w:r>
            <w:r>
              <w:rPr>
                <w:rFonts w:ascii="Times New Roman" w:hAnsi="Times New Roman" w:cs="Times New Roman"/>
                <w:sz w:val="24"/>
                <w:szCs w:val="24"/>
              </w:rPr>
              <w:t xml:space="preserve">rozwój kapitału ludzkiego i społecznego; podnoszenie standardów funkcjonowania infrastruktury społecznej oraz zmniejszenie różnic w dostępie do świadczeń zdrowotnych i opiekuńczych </w:t>
            </w:r>
          </w:p>
        </w:tc>
      </w:tr>
      <w:tr w:rsidR="000915EA" w:rsidRPr="000915EA" w14:paraId="2825C794" w14:textId="77777777" w:rsidTr="00F9788E">
        <w:trPr>
          <w:trHeight w:val="1124"/>
        </w:trPr>
        <w:tc>
          <w:tcPr>
            <w:tcW w:w="3539" w:type="dxa"/>
          </w:tcPr>
          <w:p w14:paraId="2AA60E96"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wdrażanie ładu przestrzennego </w:t>
            </w:r>
          </w:p>
          <w:p w14:paraId="3F8A519B"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p>
        </w:tc>
        <w:tc>
          <w:tcPr>
            <w:tcW w:w="5521" w:type="dxa"/>
          </w:tcPr>
          <w:p w14:paraId="5D8A9292" w14:textId="3A7FEA17" w:rsidR="000915EA" w:rsidRPr="000915EA" w:rsidRDefault="00D93FA5" w:rsidP="000915EA">
            <w:pPr>
              <w:numPr>
                <w:ilvl w:val="0"/>
                <w:numId w:val="113"/>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środowisko i energetyka, kierunek działań: zapewnienie trwałego i zrównoważonego rozwoju oraz zachowanie wysokich walorów środowiska </w:t>
            </w:r>
            <w:r w:rsidR="000915EA" w:rsidRPr="000915EA">
              <w:rPr>
                <w:rFonts w:ascii="Times New Roman" w:hAnsi="Times New Roman" w:cs="Times New Roman"/>
                <w:sz w:val="24"/>
                <w:szCs w:val="24"/>
              </w:rPr>
              <w:t xml:space="preserve"> </w:t>
            </w:r>
          </w:p>
        </w:tc>
      </w:tr>
      <w:tr w:rsidR="000915EA" w:rsidRPr="000915EA" w14:paraId="547F1418" w14:textId="77777777" w:rsidTr="00F9788E">
        <w:tc>
          <w:tcPr>
            <w:tcW w:w="3539" w:type="dxa"/>
          </w:tcPr>
          <w:p w14:paraId="4C6638C1"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tworzenie warunków i zachęt do rozwoju turystyki i rekreacji </w:t>
            </w:r>
          </w:p>
          <w:p w14:paraId="089C229A"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p>
        </w:tc>
        <w:tc>
          <w:tcPr>
            <w:tcW w:w="5521" w:type="dxa"/>
          </w:tcPr>
          <w:p w14:paraId="2B4A17C8" w14:textId="715F47B3" w:rsidR="000915EA" w:rsidRPr="000915EA" w:rsidRDefault="00D93FA5" w:rsidP="000915EA">
            <w:pPr>
              <w:numPr>
                <w:ilvl w:val="0"/>
                <w:numId w:val="112"/>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kultura i dziedzictwo, kierunek działań: wykorzystanie walorów środowiska przyrodniczego, potencjału kulturowego i turystycznego dla rozwoju gospodarczego województwa </w:t>
            </w:r>
            <w:r w:rsidR="000915EA" w:rsidRPr="000915EA">
              <w:rPr>
                <w:rFonts w:ascii="Times New Roman" w:hAnsi="Times New Roman" w:cs="Times New Roman"/>
                <w:sz w:val="24"/>
                <w:szCs w:val="24"/>
              </w:rPr>
              <w:t xml:space="preserve"> </w:t>
            </w:r>
          </w:p>
        </w:tc>
      </w:tr>
      <w:tr w:rsidR="000915EA" w:rsidRPr="000915EA" w14:paraId="29B9D6FD" w14:textId="77777777" w:rsidTr="00F9788E">
        <w:trPr>
          <w:trHeight w:val="1082"/>
        </w:trPr>
        <w:tc>
          <w:tcPr>
            <w:tcW w:w="3539" w:type="dxa"/>
          </w:tcPr>
          <w:p w14:paraId="2A32BEA7"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rozwój infrastruktury związanej z ochroną środowiska</w:t>
            </w:r>
          </w:p>
        </w:tc>
        <w:tc>
          <w:tcPr>
            <w:tcW w:w="5521" w:type="dxa"/>
          </w:tcPr>
          <w:p w14:paraId="09FF7F0D" w14:textId="06D30BFC" w:rsidR="000915EA" w:rsidRPr="000915EA" w:rsidRDefault="002E27B9" w:rsidP="000915EA">
            <w:pPr>
              <w:numPr>
                <w:ilvl w:val="0"/>
                <w:numId w:val="111"/>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środowisko i energetyka, kierunek działań: zapewnienie trwałego i zrównoważonego rozwoju oraz zachowanie wysokich walorów środowiska </w:t>
            </w:r>
            <w:r w:rsidRPr="000915EA">
              <w:rPr>
                <w:rFonts w:ascii="Times New Roman" w:hAnsi="Times New Roman" w:cs="Times New Roman"/>
                <w:sz w:val="24"/>
                <w:szCs w:val="24"/>
              </w:rPr>
              <w:t xml:space="preserve"> </w:t>
            </w:r>
          </w:p>
        </w:tc>
      </w:tr>
      <w:tr w:rsidR="000915EA" w:rsidRPr="000915EA" w14:paraId="20E748CD" w14:textId="77777777" w:rsidTr="00F9788E">
        <w:tc>
          <w:tcPr>
            <w:tcW w:w="9060" w:type="dxa"/>
            <w:gridSpan w:val="2"/>
            <w:shd w:val="clear" w:color="auto" w:fill="D9E2F3" w:themeFill="accent1" w:themeFillTint="33"/>
          </w:tcPr>
          <w:p w14:paraId="59796367"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r w:rsidRPr="000915EA">
              <w:rPr>
                <w:rFonts w:ascii="Times New Roman" w:hAnsi="Times New Roman" w:cs="Times New Roman"/>
                <w:b/>
                <w:bCs/>
                <w:sz w:val="24"/>
                <w:szCs w:val="24"/>
              </w:rPr>
              <w:t>Cel strategiczny:  Gmina nowocześnie zarządzana</w:t>
            </w:r>
          </w:p>
        </w:tc>
      </w:tr>
      <w:tr w:rsidR="000915EA" w:rsidRPr="000915EA" w14:paraId="2B46C402" w14:textId="77777777" w:rsidTr="00F9788E">
        <w:tc>
          <w:tcPr>
            <w:tcW w:w="3539" w:type="dxa"/>
            <w:shd w:val="clear" w:color="auto" w:fill="D9E2F3" w:themeFill="accent1" w:themeFillTint="33"/>
          </w:tcPr>
          <w:p w14:paraId="63E0A6E7"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Cele operacyjne </w:t>
            </w:r>
          </w:p>
        </w:tc>
        <w:tc>
          <w:tcPr>
            <w:tcW w:w="5521" w:type="dxa"/>
            <w:shd w:val="clear" w:color="auto" w:fill="D9E2F3" w:themeFill="accent1" w:themeFillTint="33"/>
          </w:tcPr>
          <w:p w14:paraId="3C6FE23B" w14:textId="604771E6" w:rsidR="000915EA" w:rsidRPr="000915EA" w:rsidRDefault="00EB41D2" w:rsidP="000915EA">
            <w:pPr>
              <w:autoSpaceDE w:val="0"/>
              <w:autoSpaceDN w:val="0"/>
              <w:adjustRightInd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Powiązania</w:t>
            </w:r>
            <w:r w:rsidR="000915EA" w:rsidRPr="000915EA">
              <w:rPr>
                <w:rFonts w:ascii="Times New Roman" w:hAnsi="Times New Roman" w:cs="Times New Roman"/>
                <w:b/>
                <w:bCs/>
                <w:sz w:val="24"/>
                <w:szCs w:val="24"/>
              </w:rPr>
              <w:t xml:space="preserve"> </w:t>
            </w:r>
          </w:p>
        </w:tc>
      </w:tr>
      <w:tr w:rsidR="000915EA" w:rsidRPr="000915EA" w14:paraId="2788EE9C" w14:textId="77777777" w:rsidTr="00F9788E">
        <w:tc>
          <w:tcPr>
            <w:tcW w:w="3539" w:type="dxa"/>
          </w:tcPr>
          <w:p w14:paraId="54DA3AA5"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wdrażanie zasad zarządzania partycypacyjnego </w:t>
            </w:r>
          </w:p>
          <w:p w14:paraId="5308B571"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p>
        </w:tc>
        <w:tc>
          <w:tcPr>
            <w:tcW w:w="5521" w:type="dxa"/>
          </w:tcPr>
          <w:p w14:paraId="2B66F31A" w14:textId="37FCC55F" w:rsidR="000915EA" w:rsidRPr="000915EA" w:rsidRDefault="002E27B9" w:rsidP="000915EA">
            <w:pPr>
              <w:numPr>
                <w:ilvl w:val="0"/>
                <w:numId w:val="117"/>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społeczeństwo, kierunek działań: aktywizacja społeczno-gospodarcza mieszkańców </w:t>
            </w:r>
          </w:p>
        </w:tc>
      </w:tr>
      <w:tr w:rsidR="000915EA" w:rsidRPr="000915EA" w14:paraId="0837CC28" w14:textId="77777777" w:rsidTr="00F9788E">
        <w:tc>
          <w:tcPr>
            <w:tcW w:w="3539" w:type="dxa"/>
          </w:tcPr>
          <w:p w14:paraId="4B36990F"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pełniejsze wdrożenie e-usług </w:t>
            </w:r>
          </w:p>
          <w:p w14:paraId="089AABBF"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p>
        </w:tc>
        <w:tc>
          <w:tcPr>
            <w:tcW w:w="5521" w:type="dxa"/>
          </w:tcPr>
          <w:p w14:paraId="1FCFF6B2" w14:textId="0F753379" w:rsidR="000915EA" w:rsidRPr="000915EA" w:rsidRDefault="00EB41D2" w:rsidP="000915EA">
            <w:pPr>
              <w:numPr>
                <w:ilvl w:val="0"/>
                <w:numId w:val="118"/>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gospodarka, kierunek działań: cyfryzacja gospodarki </w:t>
            </w:r>
            <w:r w:rsidR="000915EA" w:rsidRPr="000915EA">
              <w:rPr>
                <w:rFonts w:ascii="Times New Roman" w:hAnsi="Times New Roman" w:cs="Times New Roman"/>
                <w:sz w:val="24"/>
                <w:szCs w:val="24"/>
              </w:rPr>
              <w:t xml:space="preserve"> </w:t>
            </w:r>
          </w:p>
        </w:tc>
      </w:tr>
      <w:tr w:rsidR="000915EA" w:rsidRPr="000915EA" w14:paraId="51545817" w14:textId="77777777" w:rsidTr="00F9788E">
        <w:tc>
          <w:tcPr>
            <w:tcW w:w="3539" w:type="dxa"/>
          </w:tcPr>
          <w:p w14:paraId="5F9FC490"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zapewnienie ciągłości wdrażania celów polityki rozwoju lokalnego</w:t>
            </w:r>
          </w:p>
        </w:tc>
        <w:tc>
          <w:tcPr>
            <w:tcW w:w="5521" w:type="dxa"/>
          </w:tcPr>
          <w:p w14:paraId="5C3AA838" w14:textId="2E707ECF" w:rsidR="000915EA" w:rsidRPr="000915EA" w:rsidRDefault="002E27B9" w:rsidP="00F9788E">
            <w:pPr>
              <w:autoSpaceDE w:val="0"/>
              <w:autoSpaceDN w:val="0"/>
              <w:adjustRightInd w:val="0"/>
              <w:spacing w:line="276" w:lineRule="auto"/>
              <w:ind w:left="720"/>
              <w:jc w:val="center"/>
              <w:rPr>
                <w:rFonts w:ascii="Times New Roman" w:hAnsi="Times New Roman" w:cs="Times New Roman"/>
                <w:sz w:val="24"/>
                <w:szCs w:val="24"/>
              </w:rPr>
            </w:pPr>
            <w:r>
              <w:rPr>
                <w:rFonts w:ascii="Times New Roman" w:hAnsi="Times New Roman" w:cs="Times New Roman"/>
                <w:sz w:val="24"/>
                <w:szCs w:val="24"/>
              </w:rPr>
              <w:t>-</w:t>
            </w:r>
          </w:p>
        </w:tc>
      </w:tr>
      <w:tr w:rsidR="000915EA" w:rsidRPr="000915EA" w14:paraId="249E36A6" w14:textId="77777777" w:rsidTr="00F9788E">
        <w:trPr>
          <w:trHeight w:val="358"/>
        </w:trPr>
        <w:tc>
          <w:tcPr>
            <w:tcW w:w="9060" w:type="dxa"/>
            <w:gridSpan w:val="2"/>
            <w:shd w:val="clear" w:color="auto" w:fill="D9E2F3" w:themeFill="accent1" w:themeFillTint="33"/>
          </w:tcPr>
          <w:p w14:paraId="2BC44BD7"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r w:rsidRPr="000915EA">
              <w:rPr>
                <w:rFonts w:ascii="Times New Roman" w:hAnsi="Times New Roman" w:cs="Times New Roman"/>
                <w:b/>
                <w:bCs/>
                <w:sz w:val="24"/>
                <w:szCs w:val="24"/>
              </w:rPr>
              <w:t>Cel strategiczny:   Gmina reagująca na wyzwania</w:t>
            </w:r>
          </w:p>
        </w:tc>
      </w:tr>
      <w:tr w:rsidR="000915EA" w:rsidRPr="000915EA" w14:paraId="4655E928" w14:textId="77777777" w:rsidTr="00F9788E">
        <w:trPr>
          <w:trHeight w:val="419"/>
        </w:trPr>
        <w:tc>
          <w:tcPr>
            <w:tcW w:w="3539" w:type="dxa"/>
            <w:shd w:val="clear" w:color="auto" w:fill="D9E2F3" w:themeFill="accent1" w:themeFillTint="33"/>
          </w:tcPr>
          <w:p w14:paraId="64A332FA"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 xml:space="preserve">Cele operacyjne </w:t>
            </w:r>
          </w:p>
        </w:tc>
        <w:tc>
          <w:tcPr>
            <w:tcW w:w="5521" w:type="dxa"/>
            <w:shd w:val="clear" w:color="auto" w:fill="D9E2F3" w:themeFill="accent1" w:themeFillTint="33"/>
          </w:tcPr>
          <w:p w14:paraId="63E79542" w14:textId="0599BDEA" w:rsidR="000915EA" w:rsidRPr="000915EA" w:rsidRDefault="00EB41D2" w:rsidP="000915EA">
            <w:pPr>
              <w:autoSpaceDE w:val="0"/>
              <w:autoSpaceDN w:val="0"/>
              <w:adjustRightInd w:val="0"/>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Powiązania</w:t>
            </w:r>
          </w:p>
        </w:tc>
      </w:tr>
      <w:tr w:rsidR="000915EA" w:rsidRPr="000915EA" w14:paraId="77042FF8" w14:textId="77777777" w:rsidTr="00F9788E">
        <w:trPr>
          <w:trHeight w:val="1556"/>
        </w:trPr>
        <w:tc>
          <w:tcPr>
            <w:tcW w:w="3539" w:type="dxa"/>
          </w:tcPr>
          <w:p w14:paraId="68DE77C0"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podjęcie działań na rzecz włączenia społecznego i przeciwdziałanie procesom wykluczenia (szeroko rozumianego)</w:t>
            </w:r>
          </w:p>
          <w:p w14:paraId="39A4E0E2" w14:textId="77777777" w:rsidR="000915EA" w:rsidRPr="000915EA" w:rsidRDefault="000915EA" w:rsidP="000915EA">
            <w:pPr>
              <w:autoSpaceDE w:val="0"/>
              <w:autoSpaceDN w:val="0"/>
              <w:adjustRightInd w:val="0"/>
              <w:spacing w:line="276" w:lineRule="auto"/>
              <w:jc w:val="both"/>
              <w:rPr>
                <w:rFonts w:ascii="Times New Roman" w:hAnsi="Times New Roman" w:cs="Times New Roman"/>
                <w:sz w:val="24"/>
                <w:szCs w:val="24"/>
              </w:rPr>
            </w:pPr>
          </w:p>
        </w:tc>
        <w:tc>
          <w:tcPr>
            <w:tcW w:w="5521" w:type="dxa"/>
          </w:tcPr>
          <w:p w14:paraId="055419AB" w14:textId="7C957669" w:rsidR="002E27B9" w:rsidRPr="000915EA" w:rsidRDefault="002E27B9" w:rsidP="002E27B9">
            <w:pPr>
              <w:autoSpaceDE w:val="0"/>
              <w:autoSpaceDN w:val="0"/>
              <w:adjustRightInd w:val="0"/>
              <w:spacing w:line="276" w:lineRule="auto"/>
              <w:jc w:val="both"/>
              <w:rPr>
                <w:rFonts w:ascii="Times New Roman" w:hAnsi="Times New Roman" w:cs="Times New Roman"/>
                <w:sz w:val="24"/>
                <w:szCs w:val="24"/>
              </w:rPr>
            </w:pPr>
          </w:p>
          <w:p w14:paraId="14AAC996" w14:textId="1918375A" w:rsidR="000915EA" w:rsidRPr="000915EA" w:rsidRDefault="002E27B9" w:rsidP="000915EA">
            <w:pPr>
              <w:numPr>
                <w:ilvl w:val="0"/>
                <w:numId w:val="116"/>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Obszar społeczeństwo, kierunek działań: aktywizacja społeczno-gospodarcza mieszkańców</w:t>
            </w:r>
          </w:p>
        </w:tc>
      </w:tr>
      <w:tr w:rsidR="000915EA" w:rsidRPr="000915EA" w14:paraId="24CD7B3B" w14:textId="77777777" w:rsidTr="00F9788E">
        <w:tc>
          <w:tcPr>
            <w:tcW w:w="3539" w:type="dxa"/>
          </w:tcPr>
          <w:p w14:paraId="76B12AF0" w14:textId="77777777" w:rsidR="000915EA" w:rsidRPr="000915EA" w:rsidRDefault="000915EA" w:rsidP="000915EA">
            <w:pPr>
              <w:autoSpaceDE w:val="0"/>
              <w:autoSpaceDN w:val="0"/>
              <w:adjustRightInd w:val="0"/>
              <w:spacing w:line="276" w:lineRule="auto"/>
              <w:jc w:val="both"/>
              <w:rPr>
                <w:rFonts w:ascii="Times New Roman" w:hAnsi="Times New Roman" w:cs="Times New Roman"/>
                <w:b/>
                <w:bCs/>
                <w:sz w:val="24"/>
                <w:szCs w:val="24"/>
              </w:rPr>
            </w:pPr>
            <w:r w:rsidRPr="000915EA">
              <w:rPr>
                <w:rFonts w:ascii="Times New Roman" w:hAnsi="Times New Roman" w:cs="Times New Roman"/>
                <w:b/>
                <w:bCs/>
                <w:sz w:val="24"/>
                <w:szCs w:val="24"/>
              </w:rPr>
              <w:t>tworzenie klimatu dla rozwoju przedsiębiorczości</w:t>
            </w:r>
          </w:p>
        </w:tc>
        <w:tc>
          <w:tcPr>
            <w:tcW w:w="5521" w:type="dxa"/>
          </w:tcPr>
          <w:p w14:paraId="6321DAA3" w14:textId="4A694C5A" w:rsidR="000915EA" w:rsidRPr="000915EA" w:rsidRDefault="00EB41D2" w:rsidP="000915EA">
            <w:pPr>
              <w:numPr>
                <w:ilvl w:val="0"/>
                <w:numId w:val="115"/>
              </w:num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Obszar gospodarka, kierunek działań: wspieranie rozwoju przedsiębiorczości </w:t>
            </w:r>
            <w:r w:rsidR="000915EA" w:rsidRPr="000915EA">
              <w:rPr>
                <w:rFonts w:ascii="Times New Roman" w:hAnsi="Times New Roman" w:cs="Times New Roman"/>
                <w:sz w:val="24"/>
                <w:szCs w:val="24"/>
              </w:rPr>
              <w:t xml:space="preserve"> </w:t>
            </w:r>
          </w:p>
        </w:tc>
      </w:tr>
    </w:tbl>
    <w:p w14:paraId="79FD3C01" w14:textId="77777777" w:rsidR="000915EA" w:rsidRPr="000915EA" w:rsidRDefault="000915EA" w:rsidP="000915EA">
      <w:pPr>
        <w:autoSpaceDE w:val="0"/>
        <w:autoSpaceDN w:val="0"/>
        <w:adjustRightInd w:val="0"/>
        <w:spacing w:after="0" w:line="276" w:lineRule="auto"/>
        <w:jc w:val="both"/>
        <w:rPr>
          <w:rFonts w:ascii="Times New Roman" w:hAnsi="Times New Roman" w:cs="Times New Roman"/>
          <w:sz w:val="24"/>
          <w:szCs w:val="24"/>
        </w:rPr>
      </w:pPr>
      <w:r w:rsidRPr="000915EA">
        <w:rPr>
          <w:rFonts w:ascii="Times New Roman" w:hAnsi="Times New Roman" w:cs="Times New Roman"/>
          <w:sz w:val="24"/>
          <w:szCs w:val="24"/>
        </w:rPr>
        <w:t>Źródło: opracowanie własne</w:t>
      </w:r>
    </w:p>
    <w:p w14:paraId="216AF656" w14:textId="2F4B91ED" w:rsidR="000915EA" w:rsidRDefault="000915EA" w:rsidP="003B6DC7">
      <w:pPr>
        <w:autoSpaceDE w:val="0"/>
        <w:autoSpaceDN w:val="0"/>
        <w:adjustRightInd w:val="0"/>
        <w:spacing w:after="0" w:line="276" w:lineRule="auto"/>
        <w:jc w:val="both"/>
        <w:rPr>
          <w:rFonts w:ascii="Times New Roman" w:hAnsi="Times New Roman" w:cs="Times New Roman"/>
          <w:sz w:val="24"/>
          <w:szCs w:val="24"/>
        </w:rPr>
      </w:pPr>
    </w:p>
    <w:bookmarkEnd w:id="39"/>
    <w:p w14:paraId="075DD740" w14:textId="46A34D1D" w:rsidR="003B6DC7" w:rsidRDefault="003B6DC7" w:rsidP="000C1E4C">
      <w:pPr>
        <w:rPr>
          <w:rFonts w:ascii="Times New Roman" w:hAnsi="Times New Roman" w:cs="Times New Roman"/>
        </w:rPr>
      </w:pPr>
    </w:p>
    <w:p w14:paraId="615E9CE3" w14:textId="77777777" w:rsidR="00CD12B4" w:rsidRDefault="00CD12B4" w:rsidP="000C1E4C">
      <w:pPr>
        <w:rPr>
          <w:rFonts w:ascii="Times New Roman" w:hAnsi="Times New Roman" w:cs="Times New Roman"/>
        </w:rPr>
      </w:pPr>
    </w:p>
    <w:p w14:paraId="13D54C92" w14:textId="1E0BE922" w:rsidR="000562EC" w:rsidRPr="003B6DC7" w:rsidRDefault="00213798" w:rsidP="0007078D">
      <w:pPr>
        <w:pStyle w:val="Nagwek1"/>
        <w:numPr>
          <w:ilvl w:val="0"/>
          <w:numId w:val="74"/>
        </w:numPr>
        <w:rPr>
          <w:rFonts w:ascii="Times New Roman" w:hAnsi="Times New Roman" w:cs="Times New Roman"/>
          <w:b/>
          <w:bCs/>
          <w:sz w:val="28"/>
          <w:szCs w:val="28"/>
        </w:rPr>
      </w:pPr>
      <w:bookmarkStart w:id="40" w:name="_Hlk119636074"/>
      <w:r w:rsidRPr="003B6DC7">
        <w:rPr>
          <w:rFonts w:ascii="Times New Roman" w:hAnsi="Times New Roman" w:cs="Times New Roman"/>
          <w:b/>
          <w:bCs/>
          <w:sz w:val="28"/>
          <w:szCs w:val="28"/>
        </w:rPr>
        <w:lastRenderedPageBreak/>
        <w:t xml:space="preserve">System realizacji i monitorowania strategii  </w:t>
      </w:r>
    </w:p>
    <w:bookmarkEnd w:id="40"/>
    <w:p w14:paraId="78D29CE3" w14:textId="77777777" w:rsidR="00BF0D83" w:rsidRPr="003B6DC7" w:rsidRDefault="00BF0D83" w:rsidP="00BF0D83">
      <w:pPr>
        <w:pStyle w:val="EJNormalny"/>
        <w:ind w:firstLine="0"/>
        <w:rPr>
          <w:rFonts w:ascii="Times New Roman" w:hAnsi="Times New Roman"/>
          <w:b/>
          <w:bCs/>
          <w:sz w:val="28"/>
          <w:szCs w:val="28"/>
        </w:rPr>
      </w:pPr>
    </w:p>
    <w:p w14:paraId="30FA28DF" w14:textId="477C558B" w:rsidR="00BF0D83" w:rsidRPr="005155C7" w:rsidRDefault="00BF0D83" w:rsidP="005155C7">
      <w:pPr>
        <w:pStyle w:val="EJNormalny"/>
        <w:rPr>
          <w:rFonts w:ascii="Times New Roman" w:hAnsi="Times New Roman"/>
        </w:rPr>
      </w:pPr>
      <w:r w:rsidRPr="005155C7">
        <w:rPr>
          <w:rFonts w:ascii="Times New Roman" w:hAnsi="Times New Roman"/>
        </w:rPr>
        <w:t>Zarządzanie wdrażani</w:t>
      </w:r>
      <w:r w:rsidR="006C75A3" w:rsidRPr="005155C7">
        <w:rPr>
          <w:rFonts w:ascii="Times New Roman" w:hAnsi="Times New Roman"/>
        </w:rPr>
        <w:t>em</w:t>
      </w:r>
      <w:r w:rsidRPr="005155C7">
        <w:rPr>
          <w:rFonts w:ascii="Times New Roman" w:hAnsi="Times New Roman"/>
        </w:rPr>
        <w:t xml:space="preserve"> Strategii rozwoju wymaga</w:t>
      </w:r>
      <w:r w:rsidR="006C75A3" w:rsidRPr="005155C7">
        <w:rPr>
          <w:rFonts w:ascii="Times New Roman" w:hAnsi="Times New Roman"/>
        </w:rPr>
        <w:t xml:space="preserve"> </w:t>
      </w:r>
      <w:r w:rsidRPr="005155C7">
        <w:rPr>
          <w:rFonts w:ascii="Times New Roman" w:hAnsi="Times New Roman"/>
        </w:rPr>
        <w:t>koordynowania procesu na poziomie dokumentów wykonawczych, którymi są: programy, strategie, plany opracowywane i realizowane w Gminie. Niniejsza Strategia stanowi dla nich swoistą „ramę”, punkt odniesieni</w:t>
      </w:r>
      <w:r w:rsidR="006C75A3" w:rsidRPr="005155C7">
        <w:rPr>
          <w:rFonts w:ascii="Times New Roman" w:hAnsi="Times New Roman"/>
        </w:rPr>
        <w:t xml:space="preserve">a oraz zapewnia spójność systemu realizacji polityki rozwoju. </w:t>
      </w:r>
      <w:r w:rsidR="0038695F" w:rsidRPr="005155C7">
        <w:rPr>
          <w:rFonts w:ascii="Times New Roman" w:hAnsi="Times New Roman"/>
        </w:rPr>
        <w:t>Dokumenty wykonawcze dla Strategii to: z zakresu planowania przestrzennego</w:t>
      </w:r>
      <w:r w:rsidR="006C75A3" w:rsidRPr="005155C7">
        <w:rPr>
          <w:rFonts w:ascii="Times New Roman" w:hAnsi="Times New Roman"/>
        </w:rPr>
        <w:t>:</w:t>
      </w:r>
      <w:r w:rsidR="0038695F" w:rsidRPr="005155C7">
        <w:rPr>
          <w:rFonts w:ascii="Times New Roman" w:hAnsi="Times New Roman"/>
        </w:rPr>
        <w:t xml:space="preserve"> Studium uwarunkowań i kierunków zagospodarowania przestrzennego, plany miejscowe;</w:t>
      </w:r>
      <w:r w:rsidR="006C75A3" w:rsidRPr="005155C7">
        <w:rPr>
          <w:rFonts w:ascii="Times New Roman" w:hAnsi="Times New Roman"/>
        </w:rPr>
        <w:t xml:space="preserve"> z zakresu opieki nad zabytkami oraz zarządzania dziedzictwem kulturowym: program opieki nad zabytkami i lokalny programu rewitalizacji; </w:t>
      </w:r>
      <w:r w:rsidR="0038695F" w:rsidRPr="005155C7">
        <w:rPr>
          <w:rFonts w:ascii="Times New Roman" w:hAnsi="Times New Roman"/>
        </w:rPr>
        <w:t xml:space="preserve"> </w:t>
      </w:r>
      <w:r w:rsidR="006C75A3" w:rsidRPr="005155C7">
        <w:rPr>
          <w:rFonts w:ascii="Times New Roman" w:hAnsi="Times New Roman"/>
        </w:rPr>
        <w:t>w zakresie ochrony środowiska: program ochrony środowiska i plan gospodarki niskoemisyjnej; w zakresie polityki społecznej: Strategia rozwiązywania problemów społecznych,  lokalny program rewitalizacji oraz program współpracy z organizacjami pozarządowymi; w zakresie finansów publicznych: wieloletnia prognoza finansowa oraz uchwały budżetowe.</w:t>
      </w:r>
    </w:p>
    <w:p w14:paraId="29D255E4" w14:textId="008035F3" w:rsidR="003A4BA4" w:rsidRPr="005155C7" w:rsidRDefault="003A4BA4" w:rsidP="007C6CA4">
      <w:pPr>
        <w:pStyle w:val="Tekstprzypisudolnego"/>
        <w:spacing w:line="276" w:lineRule="auto"/>
        <w:ind w:firstLine="567"/>
        <w:jc w:val="both"/>
        <w:rPr>
          <w:rFonts w:ascii="Times New Roman" w:hAnsi="Times New Roman" w:cs="Times New Roman"/>
          <w:sz w:val="24"/>
          <w:szCs w:val="24"/>
        </w:rPr>
      </w:pPr>
      <w:r w:rsidRPr="005155C7">
        <w:rPr>
          <w:rFonts w:ascii="Times New Roman" w:hAnsi="Times New Roman" w:cs="Times New Roman"/>
          <w:sz w:val="24"/>
          <w:szCs w:val="24"/>
        </w:rPr>
        <w:t>Instrumenty stosowane dla realizacji Strategii mogą mieć różny zasięg i charakter</w:t>
      </w:r>
      <w:r w:rsidR="007C6CA4">
        <w:rPr>
          <w:rFonts w:ascii="Times New Roman" w:hAnsi="Times New Roman" w:cs="Times New Roman"/>
          <w:sz w:val="24"/>
          <w:szCs w:val="24"/>
        </w:rPr>
        <w:t xml:space="preserve">. </w:t>
      </w:r>
      <w:r w:rsidRPr="005155C7">
        <w:rPr>
          <w:rFonts w:ascii="Times New Roman" w:hAnsi="Times New Roman" w:cs="Times New Roman"/>
          <w:sz w:val="24"/>
          <w:szCs w:val="24"/>
        </w:rPr>
        <w:t>Przewiduje się, że realizacja Strategii będzie odbywać się z wykorzystaniem następujących instrumentów:</w:t>
      </w:r>
    </w:p>
    <w:p w14:paraId="74F13732" w14:textId="6D878E26"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wdrożeniowych, czyli programowania – strategie, plany, programy; </w:t>
      </w:r>
    </w:p>
    <w:p w14:paraId="3BC8E581" w14:textId="77777777"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finansowych – uchwały budżetowe, fundusze sołeckie, podatki, opłaty; </w:t>
      </w:r>
    </w:p>
    <w:p w14:paraId="651C34F4" w14:textId="77777777"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prawnych – wynikających bezpośrednio z przepisów ustawowych; </w:t>
      </w:r>
    </w:p>
    <w:p w14:paraId="58B87868" w14:textId="77777777"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planowania przestrzennego – mpzp,  procedury partycypacji w planowaniu przestrzennym; </w:t>
      </w:r>
    </w:p>
    <w:p w14:paraId="78313C01" w14:textId="77777777"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społecznych – działania edukacyjne, informacyjne, konsultacje społeczne, partnerstwa, systemy informacji przestrzennej; </w:t>
      </w:r>
    </w:p>
    <w:p w14:paraId="26111C27" w14:textId="40232031"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koordynacji – </w:t>
      </w:r>
      <w:r w:rsidR="007C6CA4">
        <w:rPr>
          <w:rFonts w:ascii="Times New Roman" w:hAnsi="Times New Roman" w:cs="Times New Roman"/>
          <w:sz w:val="24"/>
          <w:szCs w:val="24"/>
        </w:rPr>
        <w:t xml:space="preserve">działania </w:t>
      </w:r>
      <w:r w:rsidRPr="005155C7">
        <w:rPr>
          <w:rFonts w:ascii="Times New Roman" w:hAnsi="Times New Roman" w:cs="Times New Roman"/>
          <w:sz w:val="24"/>
          <w:szCs w:val="24"/>
        </w:rPr>
        <w:t>ciał o charakterze opiniodawczym</w:t>
      </w:r>
      <w:r w:rsidR="007C6CA4">
        <w:rPr>
          <w:rFonts w:ascii="Times New Roman" w:hAnsi="Times New Roman" w:cs="Times New Roman"/>
          <w:sz w:val="24"/>
          <w:szCs w:val="24"/>
        </w:rPr>
        <w:t xml:space="preserve"> dla Gminy</w:t>
      </w:r>
      <w:r w:rsidRPr="005155C7">
        <w:rPr>
          <w:rFonts w:ascii="Times New Roman" w:hAnsi="Times New Roman" w:cs="Times New Roman"/>
          <w:sz w:val="24"/>
          <w:szCs w:val="24"/>
        </w:rPr>
        <w:t xml:space="preserve">; </w:t>
      </w:r>
    </w:p>
    <w:p w14:paraId="4E6F720F" w14:textId="33A6C3AA" w:rsidR="003A4BA4" w:rsidRPr="005155C7" w:rsidRDefault="003A4BA4" w:rsidP="007C6CA4">
      <w:pPr>
        <w:pStyle w:val="Tekstprzypisudolnego"/>
        <w:numPr>
          <w:ilvl w:val="0"/>
          <w:numId w:val="108"/>
        </w:numPr>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kontrolnych – monitoring stanu, </w:t>
      </w:r>
      <w:r w:rsidR="007C6CA4">
        <w:rPr>
          <w:rFonts w:ascii="Times New Roman" w:hAnsi="Times New Roman" w:cs="Times New Roman"/>
          <w:sz w:val="24"/>
          <w:szCs w:val="24"/>
        </w:rPr>
        <w:t xml:space="preserve">ewaluacja i ewentualne </w:t>
      </w:r>
      <w:r w:rsidRPr="005155C7">
        <w:rPr>
          <w:rFonts w:ascii="Times New Roman" w:hAnsi="Times New Roman" w:cs="Times New Roman"/>
          <w:sz w:val="24"/>
          <w:szCs w:val="24"/>
        </w:rPr>
        <w:t xml:space="preserve">aktualizacje.    </w:t>
      </w:r>
    </w:p>
    <w:p w14:paraId="07EA9C00" w14:textId="77777777" w:rsidR="003A4BA4" w:rsidRPr="005155C7" w:rsidRDefault="003A4BA4" w:rsidP="005155C7">
      <w:pPr>
        <w:pStyle w:val="EJNormalny"/>
        <w:rPr>
          <w:rFonts w:ascii="Times New Roman" w:hAnsi="Times New Roman"/>
        </w:rPr>
      </w:pPr>
    </w:p>
    <w:p w14:paraId="07FEC0CB" w14:textId="5E1CDAAF" w:rsidR="00BF0D83" w:rsidRPr="005155C7" w:rsidRDefault="006C75A3" w:rsidP="005155C7">
      <w:pPr>
        <w:pStyle w:val="EJNormalny"/>
        <w:rPr>
          <w:rFonts w:ascii="Times New Roman" w:hAnsi="Times New Roman"/>
        </w:rPr>
      </w:pPr>
      <w:r w:rsidRPr="005155C7">
        <w:rPr>
          <w:rFonts w:ascii="Times New Roman" w:hAnsi="Times New Roman"/>
        </w:rPr>
        <w:t xml:space="preserve">Kolejnym elementem </w:t>
      </w:r>
      <w:r w:rsidR="003A4BA4" w:rsidRPr="005155C7">
        <w:rPr>
          <w:rFonts w:ascii="Times New Roman" w:hAnsi="Times New Roman"/>
        </w:rPr>
        <w:t xml:space="preserve">zarządzania procesem wdrażania Strategii </w:t>
      </w:r>
      <w:r w:rsidRPr="005155C7">
        <w:rPr>
          <w:rFonts w:ascii="Times New Roman" w:hAnsi="Times New Roman"/>
        </w:rPr>
        <w:t xml:space="preserve">jest </w:t>
      </w:r>
      <w:r w:rsidR="00BF0D83" w:rsidRPr="005155C7">
        <w:rPr>
          <w:rFonts w:ascii="Times New Roman" w:hAnsi="Times New Roman"/>
        </w:rPr>
        <w:t>prowadzeni</w:t>
      </w:r>
      <w:r w:rsidRPr="005155C7">
        <w:rPr>
          <w:rFonts w:ascii="Times New Roman" w:hAnsi="Times New Roman"/>
        </w:rPr>
        <w:t>e</w:t>
      </w:r>
      <w:r w:rsidR="00BF0D83" w:rsidRPr="005155C7">
        <w:rPr>
          <w:rFonts w:ascii="Times New Roman" w:hAnsi="Times New Roman"/>
        </w:rPr>
        <w:t xml:space="preserve"> monitorowania realizacji celów i kierunków działań oraz ewaluacj</w:t>
      </w:r>
      <w:r w:rsidRPr="005155C7">
        <w:rPr>
          <w:rFonts w:ascii="Times New Roman" w:hAnsi="Times New Roman"/>
        </w:rPr>
        <w:t>a</w:t>
      </w:r>
      <w:r w:rsidR="00BF0D83" w:rsidRPr="005155C7">
        <w:rPr>
          <w:rFonts w:ascii="Times New Roman" w:hAnsi="Times New Roman"/>
        </w:rPr>
        <w:t xml:space="preserve"> Strategii. Z punktu widzenia zarządzania gminą istotą monitoringu jest gromadzenie, opracowywanie i przekazywanie informacji przydatnych w procesie koordynacji rozwoju. Stąd też przedmiotem monitoringu jest gmina, pojmowana jako spójny system społeczno-gospodarczo-przestrzenny. Pr</w:t>
      </w:r>
      <w:r w:rsidRPr="005155C7">
        <w:rPr>
          <w:rFonts w:ascii="Times New Roman" w:hAnsi="Times New Roman"/>
        </w:rPr>
        <w:t>zyjęto</w:t>
      </w:r>
      <w:r w:rsidR="00BF0D83" w:rsidRPr="005155C7">
        <w:rPr>
          <w:rFonts w:ascii="Times New Roman" w:hAnsi="Times New Roman"/>
        </w:rPr>
        <w:t>, że monitoring będzie prowadzony w oparciu o wskaźniki zaprezentowane w tab</w:t>
      </w:r>
      <w:r w:rsidR="003B6DC7" w:rsidRPr="005155C7">
        <w:rPr>
          <w:rFonts w:ascii="Times New Roman" w:hAnsi="Times New Roman"/>
        </w:rPr>
        <w:t>eli</w:t>
      </w:r>
      <w:r w:rsidR="00BF0D83" w:rsidRPr="005155C7">
        <w:rPr>
          <w:rFonts w:ascii="Times New Roman" w:hAnsi="Times New Roman"/>
        </w:rPr>
        <w:t xml:space="preserve"> </w:t>
      </w:r>
      <w:r w:rsidR="003B6DC7" w:rsidRPr="005155C7">
        <w:rPr>
          <w:rFonts w:ascii="Times New Roman" w:hAnsi="Times New Roman"/>
        </w:rPr>
        <w:t>6</w:t>
      </w:r>
      <w:r w:rsidR="00BF0D83" w:rsidRPr="005155C7">
        <w:rPr>
          <w:rFonts w:ascii="Times New Roman" w:hAnsi="Times New Roman"/>
        </w:rPr>
        <w:t xml:space="preserve"> a raport </w:t>
      </w:r>
      <w:r w:rsidRPr="005155C7">
        <w:rPr>
          <w:rFonts w:ascii="Times New Roman" w:hAnsi="Times New Roman"/>
        </w:rPr>
        <w:t xml:space="preserve">z monitoringu przedstawiony w uproszczonej wersji </w:t>
      </w:r>
      <w:r w:rsidR="00BF0D83" w:rsidRPr="005155C7">
        <w:rPr>
          <w:rFonts w:ascii="Times New Roman" w:hAnsi="Times New Roman"/>
        </w:rPr>
        <w:t xml:space="preserve">będzie udostępniony społeczności lokalnej jako element Raportu o stanie Gminy.  </w:t>
      </w:r>
    </w:p>
    <w:p w14:paraId="31B47C65" w14:textId="7414FFD6" w:rsidR="0039004C" w:rsidRPr="005155C7" w:rsidRDefault="0039004C" w:rsidP="005155C7">
      <w:pPr>
        <w:pStyle w:val="EJNormalny"/>
        <w:rPr>
          <w:rFonts w:ascii="Times New Roman" w:hAnsi="Times New Roman"/>
        </w:rPr>
      </w:pPr>
    </w:p>
    <w:p w14:paraId="6A782AE7" w14:textId="7E0F4202" w:rsidR="002E27B9" w:rsidRPr="005155C7" w:rsidRDefault="0039004C" w:rsidP="007C6CA4">
      <w:pPr>
        <w:pStyle w:val="EJNormalny"/>
        <w:ind w:firstLine="0"/>
        <w:rPr>
          <w:rFonts w:ascii="Times New Roman" w:hAnsi="Times New Roman"/>
        </w:rPr>
      </w:pPr>
      <w:bookmarkStart w:id="41" w:name="_Hlk119636149"/>
      <w:r w:rsidRPr="005155C7">
        <w:rPr>
          <w:rFonts w:ascii="Times New Roman" w:hAnsi="Times New Roman"/>
        </w:rPr>
        <w:t xml:space="preserve">Tabela </w:t>
      </w:r>
      <w:r w:rsidR="003B6DC7" w:rsidRPr="005155C7">
        <w:rPr>
          <w:rFonts w:ascii="Times New Roman" w:hAnsi="Times New Roman"/>
        </w:rPr>
        <w:t>6</w:t>
      </w:r>
      <w:r w:rsidR="00A84242" w:rsidRPr="005155C7">
        <w:rPr>
          <w:rFonts w:ascii="Times New Roman" w:hAnsi="Times New Roman"/>
        </w:rPr>
        <w:t>. P</w:t>
      </w:r>
      <w:r w:rsidRPr="005155C7">
        <w:rPr>
          <w:rFonts w:ascii="Times New Roman" w:hAnsi="Times New Roman"/>
        </w:rPr>
        <w:t>roponowane wskaźniki monitorowania (prz</w:t>
      </w:r>
      <w:r w:rsidR="007C6CA4">
        <w:rPr>
          <w:rFonts w:ascii="Times New Roman" w:hAnsi="Times New Roman"/>
        </w:rPr>
        <w:t>y</w:t>
      </w:r>
      <w:r w:rsidRPr="005155C7">
        <w:rPr>
          <w:rFonts w:ascii="Times New Roman" w:hAnsi="Times New Roman"/>
        </w:rPr>
        <w:t xml:space="preserve">pisane do celów operacyjnych) </w:t>
      </w:r>
    </w:p>
    <w:tbl>
      <w:tblPr>
        <w:tblStyle w:val="Tabela-Siatka"/>
        <w:tblW w:w="0" w:type="auto"/>
        <w:tblLook w:val="04A0" w:firstRow="1" w:lastRow="0" w:firstColumn="1" w:lastColumn="0" w:noHBand="0" w:noVBand="1"/>
      </w:tblPr>
      <w:tblGrid>
        <w:gridCol w:w="3113"/>
        <w:gridCol w:w="5947"/>
      </w:tblGrid>
      <w:tr w:rsidR="002E27B9" w:rsidRPr="005155C7" w14:paraId="2F8C3532" w14:textId="77777777" w:rsidTr="00DA1F7B">
        <w:tc>
          <w:tcPr>
            <w:tcW w:w="9062" w:type="dxa"/>
            <w:gridSpan w:val="2"/>
            <w:shd w:val="clear" w:color="auto" w:fill="D9E2F3" w:themeFill="accent1" w:themeFillTint="33"/>
          </w:tcPr>
          <w:p w14:paraId="1F12CE97"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Cel strategiczny: Gmina dostępna</w:t>
            </w:r>
          </w:p>
        </w:tc>
      </w:tr>
      <w:tr w:rsidR="002E27B9" w:rsidRPr="005155C7" w14:paraId="0344E4AA" w14:textId="77777777" w:rsidTr="00DA1F7B">
        <w:tc>
          <w:tcPr>
            <w:tcW w:w="3114" w:type="dxa"/>
            <w:shd w:val="clear" w:color="auto" w:fill="D9E2F3" w:themeFill="accent1" w:themeFillTint="33"/>
          </w:tcPr>
          <w:p w14:paraId="30E19DCD"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5A6F84C2" w14:textId="3443554C"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Proponowane wskaźniki  </w:t>
            </w:r>
          </w:p>
        </w:tc>
      </w:tr>
      <w:tr w:rsidR="002E27B9" w:rsidRPr="005155C7" w14:paraId="23D227F0" w14:textId="77777777" w:rsidTr="00DA1F7B">
        <w:tc>
          <w:tcPr>
            <w:tcW w:w="3114" w:type="dxa"/>
          </w:tcPr>
          <w:p w14:paraId="05050D9A"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rozwój infrastruktury transportowej i zapewnienie mobilności </w:t>
            </w:r>
          </w:p>
        </w:tc>
        <w:tc>
          <w:tcPr>
            <w:tcW w:w="5948" w:type="dxa"/>
          </w:tcPr>
          <w:p w14:paraId="2BD554E9" w14:textId="16155FD9" w:rsidR="002E27B9" w:rsidRPr="005155C7" w:rsidRDefault="006C1287" w:rsidP="005155C7">
            <w:pPr>
              <w:pStyle w:val="Akapitzlist"/>
              <w:numPr>
                <w:ilvl w:val="0"/>
                <w:numId w:val="120"/>
              </w:numPr>
              <w:autoSpaceDE w:val="0"/>
              <w:autoSpaceDN w:val="0"/>
              <w:adjustRightInd w:val="0"/>
              <w:spacing w:line="276" w:lineRule="auto"/>
              <w:jc w:val="both"/>
              <w:rPr>
                <w:rFonts w:ascii="Times New Roman" w:hAnsi="Times New Roman" w:cs="Times New Roman"/>
                <w:color w:val="000000"/>
                <w:sz w:val="24"/>
                <w:szCs w:val="24"/>
              </w:rPr>
            </w:pPr>
            <w:r w:rsidRPr="005155C7">
              <w:rPr>
                <w:rFonts w:ascii="Times New Roman" w:hAnsi="Times New Roman" w:cs="Times New Roman"/>
                <w:sz w:val="24"/>
                <w:szCs w:val="24"/>
              </w:rPr>
              <w:t>Długość w km wybudowanych ścieżek rowerowych</w:t>
            </w:r>
          </w:p>
          <w:p w14:paraId="2DE77722" w14:textId="6322EAAC" w:rsidR="006C1287" w:rsidRPr="007C6CA4" w:rsidRDefault="006C1287" w:rsidP="007C6CA4">
            <w:pPr>
              <w:pStyle w:val="Akapitzlist"/>
              <w:numPr>
                <w:ilvl w:val="0"/>
                <w:numId w:val="120"/>
              </w:numPr>
              <w:autoSpaceDE w:val="0"/>
              <w:autoSpaceDN w:val="0"/>
              <w:adjustRightInd w:val="0"/>
              <w:spacing w:line="276" w:lineRule="auto"/>
              <w:jc w:val="both"/>
              <w:rPr>
                <w:rFonts w:ascii="Times New Roman" w:hAnsi="Times New Roman" w:cs="Times New Roman"/>
                <w:color w:val="000000"/>
                <w:sz w:val="24"/>
                <w:szCs w:val="24"/>
              </w:rPr>
            </w:pPr>
            <w:r w:rsidRPr="005155C7">
              <w:rPr>
                <w:rFonts w:ascii="Times New Roman" w:hAnsi="Times New Roman" w:cs="Times New Roman"/>
                <w:color w:val="000000"/>
                <w:sz w:val="24"/>
                <w:szCs w:val="24"/>
              </w:rPr>
              <w:t xml:space="preserve">Dostępność komunikacyjna wewnątrz gminy (wskaźnik jakościowy – ocena na ile połączenia </w:t>
            </w:r>
            <w:r w:rsidRPr="005155C7">
              <w:rPr>
                <w:rFonts w:ascii="Times New Roman" w:hAnsi="Times New Roman" w:cs="Times New Roman"/>
                <w:color w:val="000000"/>
                <w:sz w:val="24"/>
                <w:szCs w:val="24"/>
              </w:rPr>
              <w:lastRenderedPageBreak/>
              <w:t>komunikacją publiczną pozwalają dostać się do miejscowości gminnej i następnie wrócić do miejsca zamieszkania, także popołudniami i wieczorami w kontekście korzystania z różnych usług publicznych)</w:t>
            </w:r>
          </w:p>
        </w:tc>
      </w:tr>
      <w:tr w:rsidR="002E27B9" w:rsidRPr="005155C7" w14:paraId="1E7ABA8A" w14:textId="77777777" w:rsidTr="00DA1F7B">
        <w:tc>
          <w:tcPr>
            <w:tcW w:w="3114" w:type="dxa"/>
          </w:tcPr>
          <w:p w14:paraId="5052EF8D"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lastRenderedPageBreak/>
              <w:t>zapewnienie dostępu do Internetu wysokiej jakości na terenie całej gminy i podnoszenie kompetencji cyfrowych</w:t>
            </w:r>
          </w:p>
        </w:tc>
        <w:tc>
          <w:tcPr>
            <w:tcW w:w="5948" w:type="dxa"/>
          </w:tcPr>
          <w:p w14:paraId="62077831" w14:textId="181631DB" w:rsidR="002E27B9" w:rsidRPr="005155C7" w:rsidRDefault="006C1287" w:rsidP="005155C7">
            <w:pPr>
              <w:numPr>
                <w:ilvl w:val="0"/>
                <w:numId w:val="110"/>
              </w:numPr>
              <w:autoSpaceDE w:val="0"/>
              <w:autoSpaceDN w:val="0"/>
              <w:adjustRightInd w:val="0"/>
              <w:spacing w:line="276" w:lineRule="auto"/>
              <w:ind w:left="714" w:hanging="357"/>
              <w:jc w:val="both"/>
              <w:rPr>
                <w:rFonts w:ascii="Times New Roman" w:hAnsi="Times New Roman" w:cs="Times New Roman"/>
                <w:sz w:val="24"/>
                <w:szCs w:val="24"/>
              </w:rPr>
            </w:pPr>
            <w:r w:rsidRPr="005155C7">
              <w:rPr>
                <w:rFonts w:ascii="Times New Roman" w:hAnsi="Times New Roman" w:cs="Times New Roman"/>
                <w:sz w:val="24"/>
                <w:szCs w:val="24"/>
              </w:rPr>
              <w:t>Odsetek gospodarstw domowych korzystających z szerokopasmowego Internetu</w:t>
            </w:r>
          </w:p>
          <w:p w14:paraId="18BCCFC0" w14:textId="681B4FAA" w:rsidR="006C1287" w:rsidRPr="005155C7" w:rsidRDefault="00246134" w:rsidP="005155C7">
            <w:pPr>
              <w:numPr>
                <w:ilvl w:val="0"/>
                <w:numId w:val="110"/>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punktów na terenie </w:t>
            </w:r>
            <w:r w:rsidR="007C6CA4">
              <w:rPr>
                <w:rFonts w:ascii="Times New Roman" w:hAnsi="Times New Roman" w:cs="Times New Roman"/>
                <w:sz w:val="24"/>
                <w:szCs w:val="24"/>
              </w:rPr>
              <w:t>G</w:t>
            </w:r>
            <w:r w:rsidRPr="005155C7">
              <w:rPr>
                <w:rFonts w:ascii="Times New Roman" w:hAnsi="Times New Roman" w:cs="Times New Roman"/>
                <w:sz w:val="24"/>
                <w:szCs w:val="24"/>
              </w:rPr>
              <w:t xml:space="preserve">miny z otwartym dostępem do Internetu </w:t>
            </w:r>
          </w:p>
        </w:tc>
      </w:tr>
      <w:tr w:rsidR="002E27B9" w:rsidRPr="005155C7" w14:paraId="3D1B9988" w14:textId="77777777" w:rsidTr="00DA1F7B">
        <w:trPr>
          <w:trHeight w:val="552"/>
        </w:trPr>
        <w:tc>
          <w:tcPr>
            <w:tcW w:w="9062" w:type="dxa"/>
            <w:gridSpan w:val="2"/>
            <w:shd w:val="clear" w:color="auto" w:fill="D9E2F3" w:themeFill="accent1" w:themeFillTint="33"/>
          </w:tcPr>
          <w:p w14:paraId="6553060A"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b/>
                <w:bCs/>
                <w:sz w:val="24"/>
                <w:szCs w:val="24"/>
              </w:rPr>
              <w:t>Cel strategiczny:  Gmina atrakcyjna dla mieszkańców i turystów</w:t>
            </w:r>
          </w:p>
        </w:tc>
      </w:tr>
      <w:tr w:rsidR="002E27B9" w:rsidRPr="005155C7" w14:paraId="791FE9D4" w14:textId="77777777" w:rsidTr="00DA1F7B">
        <w:trPr>
          <w:trHeight w:val="500"/>
        </w:trPr>
        <w:tc>
          <w:tcPr>
            <w:tcW w:w="3114" w:type="dxa"/>
            <w:shd w:val="clear" w:color="auto" w:fill="D9E2F3" w:themeFill="accent1" w:themeFillTint="33"/>
          </w:tcPr>
          <w:p w14:paraId="66DDBF76"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6406EF87" w14:textId="1ACABBA2"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Proponowane wskaźniki  </w:t>
            </w:r>
          </w:p>
        </w:tc>
      </w:tr>
      <w:tr w:rsidR="002E27B9" w:rsidRPr="005155C7" w14:paraId="23426BCD" w14:textId="77777777" w:rsidTr="00DA1F7B">
        <w:trPr>
          <w:trHeight w:val="1709"/>
        </w:trPr>
        <w:tc>
          <w:tcPr>
            <w:tcW w:w="3114" w:type="dxa"/>
          </w:tcPr>
          <w:p w14:paraId="585A5769"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poszerzenie i uatrakcyjnienie oferty usług publicznych dla różnych grup interesariuszy </w:t>
            </w:r>
          </w:p>
          <w:p w14:paraId="1CD8387B"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 </w:t>
            </w:r>
          </w:p>
        </w:tc>
        <w:tc>
          <w:tcPr>
            <w:tcW w:w="5948" w:type="dxa"/>
          </w:tcPr>
          <w:p w14:paraId="073A29E5" w14:textId="77777777" w:rsidR="002E27B9" w:rsidRPr="005155C7" w:rsidRDefault="00FD78BA" w:rsidP="005155C7">
            <w:pPr>
              <w:numPr>
                <w:ilvl w:val="0"/>
                <w:numId w:val="114"/>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Liczba akcji związanych z profilaktyką zdrowotną; liczba uczestników tych akcji</w:t>
            </w:r>
          </w:p>
          <w:p w14:paraId="7C99102B" w14:textId="77777777" w:rsidR="00FD78BA" w:rsidRPr="005155C7" w:rsidRDefault="00FD78BA" w:rsidP="005155C7">
            <w:pPr>
              <w:numPr>
                <w:ilvl w:val="0"/>
                <w:numId w:val="114"/>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miejsc opieki dla dzieci (w tym liczba dzieci), szczególnie do lat 3 </w:t>
            </w:r>
          </w:p>
          <w:p w14:paraId="5B290EDF" w14:textId="77777777" w:rsidR="00FD78BA" w:rsidRPr="005155C7" w:rsidRDefault="00FD78BA" w:rsidP="005155C7">
            <w:pPr>
              <w:numPr>
                <w:ilvl w:val="0"/>
                <w:numId w:val="114"/>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i długość odcinków wyremontowanych dróg, chodników itp. </w:t>
            </w:r>
          </w:p>
          <w:p w14:paraId="2DFB784A" w14:textId="32D43A65" w:rsidR="00FD78BA" w:rsidRPr="005155C7" w:rsidRDefault="00FD78BA" w:rsidP="005155C7">
            <w:pPr>
              <w:numPr>
                <w:ilvl w:val="0"/>
                <w:numId w:val="114"/>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propozycji o jaką zwiększyła się oferta </w:t>
            </w:r>
            <w:r w:rsidR="007C6CA4">
              <w:rPr>
                <w:rFonts w:ascii="Times New Roman" w:hAnsi="Times New Roman" w:cs="Times New Roman"/>
                <w:sz w:val="24"/>
                <w:szCs w:val="24"/>
              </w:rPr>
              <w:t xml:space="preserve">usług </w:t>
            </w:r>
            <w:r w:rsidRPr="005155C7">
              <w:rPr>
                <w:rFonts w:ascii="Times New Roman" w:hAnsi="Times New Roman" w:cs="Times New Roman"/>
                <w:sz w:val="24"/>
                <w:szCs w:val="24"/>
              </w:rPr>
              <w:t>spędzania czasu wolnego (rok do roku)</w:t>
            </w:r>
          </w:p>
        </w:tc>
      </w:tr>
      <w:tr w:rsidR="002E27B9" w:rsidRPr="005155C7" w14:paraId="7BC3A072" w14:textId="77777777" w:rsidTr="00DA1F7B">
        <w:trPr>
          <w:trHeight w:val="1124"/>
        </w:trPr>
        <w:tc>
          <w:tcPr>
            <w:tcW w:w="3114" w:type="dxa"/>
          </w:tcPr>
          <w:p w14:paraId="462E64CC"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wdrażanie ładu przestrzennego </w:t>
            </w:r>
          </w:p>
          <w:p w14:paraId="7CDDD154"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p>
        </w:tc>
        <w:tc>
          <w:tcPr>
            <w:tcW w:w="5948" w:type="dxa"/>
          </w:tcPr>
          <w:p w14:paraId="65309263" w14:textId="77777777" w:rsidR="00FD78BA" w:rsidRPr="005155C7" w:rsidRDefault="00FD78BA" w:rsidP="005155C7">
            <w:pPr>
              <w:numPr>
                <w:ilvl w:val="0"/>
                <w:numId w:val="113"/>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Liczba przeprowadzonych projektów rewitalizacyjnych, liczba mieszkańców objętych tymi projektami</w:t>
            </w:r>
          </w:p>
          <w:p w14:paraId="64B480F2" w14:textId="07B66934" w:rsidR="002E27B9" w:rsidRPr="005155C7" w:rsidRDefault="00FD78BA" w:rsidP="005155C7">
            <w:pPr>
              <w:numPr>
                <w:ilvl w:val="0"/>
                <w:numId w:val="113"/>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nowoutworzonych  terenów publicznych (w tym terenów zieleni) na terenie Miasta i Gminy  </w:t>
            </w:r>
          </w:p>
        </w:tc>
      </w:tr>
      <w:tr w:rsidR="002E27B9" w:rsidRPr="005155C7" w14:paraId="5B4BDD54" w14:textId="77777777" w:rsidTr="00DA1F7B">
        <w:tc>
          <w:tcPr>
            <w:tcW w:w="3114" w:type="dxa"/>
          </w:tcPr>
          <w:p w14:paraId="1AEF4222"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tworzenie warunków i zachęt do rozwoju turystyki i rekreacji </w:t>
            </w:r>
          </w:p>
          <w:p w14:paraId="67C8CA9F"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p>
        </w:tc>
        <w:tc>
          <w:tcPr>
            <w:tcW w:w="5948" w:type="dxa"/>
          </w:tcPr>
          <w:p w14:paraId="70D149D8" w14:textId="77777777" w:rsidR="002E27B9" w:rsidRPr="005155C7" w:rsidRDefault="00FD78BA" w:rsidP="005155C7">
            <w:pPr>
              <w:numPr>
                <w:ilvl w:val="0"/>
                <w:numId w:val="112"/>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Posiadanie strategii marki terytorialnej (wskaźnik jednorazowy)</w:t>
            </w:r>
          </w:p>
          <w:p w14:paraId="1D121F6A" w14:textId="3A1FA12C" w:rsidR="00FD78BA" w:rsidRPr="005155C7" w:rsidRDefault="00FD78BA" w:rsidP="005155C7">
            <w:pPr>
              <w:numPr>
                <w:ilvl w:val="0"/>
                <w:numId w:val="112"/>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produktów turystycznych w gminie </w:t>
            </w:r>
          </w:p>
        </w:tc>
      </w:tr>
      <w:tr w:rsidR="002E27B9" w:rsidRPr="005155C7" w14:paraId="472B8448" w14:textId="77777777" w:rsidTr="00DA1F7B">
        <w:trPr>
          <w:trHeight w:val="1082"/>
        </w:trPr>
        <w:tc>
          <w:tcPr>
            <w:tcW w:w="3114" w:type="dxa"/>
          </w:tcPr>
          <w:p w14:paraId="0876C5B9"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rozwój infrastruktury związanej z ochroną środowiska</w:t>
            </w:r>
          </w:p>
        </w:tc>
        <w:tc>
          <w:tcPr>
            <w:tcW w:w="5948" w:type="dxa"/>
          </w:tcPr>
          <w:p w14:paraId="7B024BED" w14:textId="3F79830C" w:rsidR="002E27B9" w:rsidRPr="005155C7" w:rsidRDefault="006C1287" w:rsidP="005155C7">
            <w:pPr>
              <w:numPr>
                <w:ilvl w:val="0"/>
                <w:numId w:val="111"/>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Odsetek mieszkańców korzystających z s</w:t>
            </w:r>
            <w:r w:rsidR="00FD78BA" w:rsidRPr="005155C7">
              <w:rPr>
                <w:rFonts w:ascii="Times New Roman" w:hAnsi="Times New Roman" w:cs="Times New Roman"/>
                <w:sz w:val="24"/>
                <w:szCs w:val="24"/>
              </w:rPr>
              <w:t xml:space="preserve">ieci </w:t>
            </w:r>
            <w:r w:rsidRPr="005155C7">
              <w:rPr>
                <w:rFonts w:ascii="Times New Roman" w:hAnsi="Times New Roman" w:cs="Times New Roman"/>
                <w:sz w:val="24"/>
                <w:szCs w:val="24"/>
              </w:rPr>
              <w:t xml:space="preserve"> kanalizac</w:t>
            </w:r>
            <w:r w:rsidR="007C6CA4">
              <w:rPr>
                <w:rFonts w:ascii="Times New Roman" w:hAnsi="Times New Roman" w:cs="Times New Roman"/>
                <w:sz w:val="24"/>
                <w:szCs w:val="24"/>
              </w:rPr>
              <w:t xml:space="preserve">yjnej </w:t>
            </w:r>
            <w:r w:rsidRPr="005155C7">
              <w:rPr>
                <w:rFonts w:ascii="Times New Roman" w:hAnsi="Times New Roman" w:cs="Times New Roman"/>
                <w:sz w:val="24"/>
                <w:szCs w:val="24"/>
              </w:rPr>
              <w:t xml:space="preserve"> </w:t>
            </w:r>
          </w:p>
          <w:p w14:paraId="5EB45823" w14:textId="77777777" w:rsidR="006C1287" w:rsidRPr="005155C7" w:rsidRDefault="00FD78BA" w:rsidP="005155C7">
            <w:pPr>
              <w:numPr>
                <w:ilvl w:val="0"/>
                <w:numId w:val="111"/>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ekoinnowacji wdrożonych w obiektach użyteczności publicznej </w:t>
            </w:r>
          </w:p>
          <w:p w14:paraId="4F8BF464" w14:textId="0677171C" w:rsidR="00FD78BA" w:rsidRPr="005155C7" w:rsidRDefault="00FD78BA" w:rsidP="005155C7">
            <w:pPr>
              <w:numPr>
                <w:ilvl w:val="0"/>
                <w:numId w:val="111"/>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i moc instalacji OZE </w:t>
            </w:r>
            <w:r w:rsidR="007C6CA4">
              <w:rPr>
                <w:rFonts w:ascii="Times New Roman" w:hAnsi="Times New Roman" w:cs="Times New Roman"/>
                <w:sz w:val="24"/>
                <w:szCs w:val="24"/>
              </w:rPr>
              <w:t>na ternie Gminy (w tym związana z  obiektami użyteczności publicznej)</w:t>
            </w:r>
          </w:p>
        </w:tc>
      </w:tr>
      <w:tr w:rsidR="002E27B9" w:rsidRPr="005155C7" w14:paraId="74600EDF" w14:textId="77777777" w:rsidTr="00DA1F7B">
        <w:tc>
          <w:tcPr>
            <w:tcW w:w="9062" w:type="dxa"/>
            <w:gridSpan w:val="2"/>
            <w:shd w:val="clear" w:color="auto" w:fill="D9E2F3" w:themeFill="accent1" w:themeFillTint="33"/>
          </w:tcPr>
          <w:p w14:paraId="6B7EA3D5"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b/>
                <w:bCs/>
                <w:sz w:val="24"/>
                <w:szCs w:val="24"/>
              </w:rPr>
              <w:t>Cel strategiczny:  Gmina nowocześnie zarządzana</w:t>
            </w:r>
          </w:p>
        </w:tc>
      </w:tr>
      <w:tr w:rsidR="002E27B9" w:rsidRPr="005155C7" w14:paraId="507DCB0D" w14:textId="77777777" w:rsidTr="00DA1F7B">
        <w:tc>
          <w:tcPr>
            <w:tcW w:w="3114" w:type="dxa"/>
            <w:shd w:val="clear" w:color="auto" w:fill="D9E2F3" w:themeFill="accent1" w:themeFillTint="33"/>
          </w:tcPr>
          <w:p w14:paraId="242781D1"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1AABEBB2" w14:textId="2EA3AFE8"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Proponowane wskaźniki  </w:t>
            </w:r>
          </w:p>
        </w:tc>
      </w:tr>
      <w:tr w:rsidR="002E27B9" w:rsidRPr="005155C7" w14:paraId="634A9AC2" w14:textId="77777777" w:rsidTr="00DA1F7B">
        <w:tc>
          <w:tcPr>
            <w:tcW w:w="3114" w:type="dxa"/>
          </w:tcPr>
          <w:p w14:paraId="04E3A531"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wdrażanie zasad zarządzania partycypacyjnego </w:t>
            </w:r>
          </w:p>
          <w:p w14:paraId="2C44F8C2"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p>
        </w:tc>
        <w:tc>
          <w:tcPr>
            <w:tcW w:w="5948" w:type="dxa"/>
          </w:tcPr>
          <w:p w14:paraId="50A19938" w14:textId="7702600E" w:rsidR="002E27B9" w:rsidRPr="005155C7" w:rsidRDefault="002E27B9" w:rsidP="005155C7">
            <w:pPr>
              <w:numPr>
                <w:ilvl w:val="0"/>
                <w:numId w:val="117"/>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Liczba procesów partycypacyjnych</w:t>
            </w:r>
            <w:r w:rsidR="006C1287" w:rsidRPr="005155C7">
              <w:rPr>
                <w:rFonts w:ascii="Times New Roman" w:hAnsi="Times New Roman" w:cs="Times New Roman"/>
                <w:sz w:val="24"/>
                <w:szCs w:val="24"/>
              </w:rPr>
              <w:t xml:space="preserve"> związanych z polityką rozwoju lokalnego </w:t>
            </w:r>
          </w:p>
          <w:p w14:paraId="6D07E78A" w14:textId="4ADEBAD0" w:rsidR="002E27B9" w:rsidRPr="005155C7" w:rsidRDefault="002E27B9" w:rsidP="005155C7">
            <w:pPr>
              <w:numPr>
                <w:ilvl w:val="0"/>
                <w:numId w:val="117"/>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Zastosowane metody partycypacji ze ws</w:t>
            </w:r>
            <w:r w:rsidR="006C1287" w:rsidRPr="005155C7">
              <w:rPr>
                <w:rFonts w:ascii="Times New Roman" w:hAnsi="Times New Roman" w:cs="Times New Roman"/>
                <w:sz w:val="24"/>
                <w:szCs w:val="24"/>
              </w:rPr>
              <w:t xml:space="preserve">kazaniem </w:t>
            </w:r>
            <w:r w:rsidRPr="005155C7">
              <w:rPr>
                <w:rFonts w:ascii="Times New Roman" w:hAnsi="Times New Roman" w:cs="Times New Roman"/>
                <w:sz w:val="24"/>
                <w:szCs w:val="24"/>
              </w:rPr>
              <w:t>metod zaawansowanych (</w:t>
            </w:r>
            <w:r w:rsidR="006C1287" w:rsidRPr="005155C7">
              <w:rPr>
                <w:rFonts w:ascii="Times New Roman" w:hAnsi="Times New Roman" w:cs="Times New Roman"/>
                <w:sz w:val="24"/>
                <w:szCs w:val="24"/>
              </w:rPr>
              <w:t>i</w:t>
            </w:r>
            <w:r w:rsidRPr="005155C7">
              <w:rPr>
                <w:rFonts w:ascii="Times New Roman" w:hAnsi="Times New Roman" w:cs="Times New Roman"/>
                <w:sz w:val="24"/>
                <w:szCs w:val="24"/>
              </w:rPr>
              <w:t xml:space="preserve">nnych niż </w:t>
            </w:r>
            <w:r w:rsidR="006C1287" w:rsidRPr="005155C7">
              <w:rPr>
                <w:rFonts w:ascii="Times New Roman" w:hAnsi="Times New Roman" w:cs="Times New Roman"/>
                <w:sz w:val="24"/>
                <w:szCs w:val="24"/>
              </w:rPr>
              <w:t>informowanie</w:t>
            </w:r>
            <w:r w:rsidRPr="005155C7">
              <w:rPr>
                <w:rFonts w:ascii="Times New Roman" w:hAnsi="Times New Roman" w:cs="Times New Roman"/>
                <w:sz w:val="24"/>
                <w:szCs w:val="24"/>
              </w:rPr>
              <w:t xml:space="preserve"> i konsultowanie) </w:t>
            </w:r>
          </w:p>
        </w:tc>
      </w:tr>
      <w:tr w:rsidR="002E27B9" w:rsidRPr="005155C7" w14:paraId="1E35B454" w14:textId="77777777" w:rsidTr="00DA1F7B">
        <w:tc>
          <w:tcPr>
            <w:tcW w:w="3114" w:type="dxa"/>
          </w:tcPr>
          <w:p w14:paraId="401FE79B"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lastRenderedPageBreak/>
              <w:t xml:space="preserve">pełniejsze wdrożenie e-usług </w:t>
            </w:r>
          </w:p>
          <w:p w14:paraId="23050B10"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p>
        </w:tc>
        <w:tc>
          <w:tcPr>
            <w:tcW w:w="5948" w:type="dxa"/>
          </w:tcPr>
          <w:p w14:paraId="58576552" w14:textId="1D2A164E" w:rsidR="002E27B9" w:rsidRPr="005155C7" w:rsidRDefault="002E27B9" w:rsidP="005155C7">
            <w:pPr>
              <w:numPr>
                <w:ilvl w:val="0"/>
                <w:numId w:val="118"/>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dostępnych e-usług na terenie </w:t>
            </w:r>
            <w:r w:rsidR="007C6CA4">
              <w:rPr>
                <w:rFonts w:ascii="Times New Roman" w:hAnsi="Times New Roman" w:cs="Times New Roman"/>
                <w:sz w:val="24"/>
                <w:szCs w:val="24"/>
              </w:rPr>
              <w:t>G</w:t>
            </w:r>
            <w:r w:rsidRPr="005155C7">
              <w:rPr>
                <w:rFonts w:ascii="Times New Roman" w:hAnsi="Times New Roman" w:cs="Times New Roman"/>
                <w:sz w:val="24"/>
                <w:szCs w:val="24"/>
              </w:rPr>
              <w:t>miny</w:t>
            </w:r>
          </w:p>
          <w:p w14:paraId="138631EB" w14:textId="1727C49B" w:rsidR="002E27B9" w:rsidRPr="005155C7" w:rsidRDefault="002E27B9" w:rsidP="005155C7">
            <w:pPr>
              <w:numPr>
                <w:ilvl w:val="0"/>
                <w:numId w:val="118"/>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szkoleń z zakresu cyfryzacji przeprowadzona  dla różnych grup interesariuszy </w:t>
            </w:r>
          </w:p>
        </w:tc>
      </w:tr>
      <w:tr w:rsidR="002E27B9" w:rsidRPr="005155C7" w14:paraId="7DB3A14E" w14:textId="77777777" w:rsidTr="00DA1F7B">
        <w:tc>
          <w:tcPr>
            <w:tcW w:w="3114" w:type="dxa"/>
          </w:tcPr>
          <w:p w14:paraId="0D53B796"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zapewnienie ciągłości wdrażania celów polityki rozwoju lokalnego</w:t>
            </w:r>
          </w:p>
        </w:tc>
        <w:tc>
          <w:tcPr>
            <w:tcW w:w="5948" w:type="dxa"/>
          </w:tcPr>
          <w:p w14:paraId="5FB6AA64" w14:textId="74033A3B" w:rsidR="002E27B9" w:rsidRPr="005155C7" w:rsidRDefault="002E27B9" w:rsidP="005155C7">
            <w:pPr>
              <w:pStyle w:val="Akapitzlist"/>
              <w:numPr>
                <w:ilvl w:val="0"/>
                <w:numId w:val="118"/>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Wskaźnik skuteczności realizacji celów z dokumentów długofalowych  (jako odsetek zrealizowanych zamierzeń/projektów lub jeśli dokument ma wskaźniki to stopień osiągni</w:t>
            </w:r>
            <w:r w:rsidR="007C6CA4">
              <w:rPr>
                <w:rFonts w:ascii="Times New Roman" w:hAnsi="Times New Roman" w:cs="Times New Roman"/>
                <w:sz w:val="24"/>
                <w:szCs w:val="24"/>
              </w:rPr>
              <w:t>ę</w:t>
            </w:r>
            <w:r w:rsidRPr="005155C7">
              <w:rPr>
                <w:rFonts w:ascii="Times New Roman" w:hAnsi="Times New Roman" w:cs="Times New Roman"/>
                <w:sz w:val="24"/>
                <w:szCs w:val="24"/>
              </w:rPr>
              <w:t xml:space="preserve">cia zakładanych wskaźników) </w:t>
            </w:r>
          </w:p>
        </w:tc>
      </w:tr>
      <w:tr w:rsidR="002E27B9" w:rsidRPr="005155C7" w14:paraId="0BD23C4D" w14:textId="77777777" w:rsidTr="00DA1F7B">
        <w:trPr>
          <w:trHeight w:val="358"/>
        </w:trPr>
        <w:tc>
          <w:tcPr>
            <w:tcW w:w="9062" w:type="dxa"/>
            <w:gridSpan w:val="2"/>
            <w:shd w:val="clear" w:color="auto" w:fill="D9E2F3" w:themeFill="accent1" w:themeFillTint="33"/>
          </w:tcPr>
          <w:p w14:paraId="6F402B83"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b/>
                <w:bCs/>
                <w:sz w:val="24"/>
                <w:szCs w:val="24"/>
              </w:rPr>
              <w:t>Cel strategiczny:   Gmina reagująca na wyzwania</w:t>
            </w:r>
          </w:p>
        </w:tc>
      </w:tr>
      <w:tr w:rsidR="002E27B9" w:rsidRPr="005155C7" w14:paraId="679BB54A" w14:textId="77777777" w:rsidTr="00DA1F7B">
        <w:trPr>
          <w:trHeight w:val="419"/>
        </w:trPr>
        <w:tc>
          <w:tcPr>
            <w:tcW w:w="3114" w:type="dxa"/>
            <w:shd w:val="clear" w:color="auto" w:fill="D9E2F3" w:themeFill="accent1" w:themeFillTint="33"/>
          </w:tcPr>
          <w:p w14:paraId="1B600541"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Cele operacyjne </w:t>
            </w:r>
          </w:p>
        </w:tc>
        <w:tc>
          <w:tcPr>
            <w:tcW w:w="5948" w:type="dxa"/>
            <w:shd w:val="clear" w:color="auto" w:fill="D9E2F3" w:themeFill="accent1" w:themeFillTint="33"/>
          </w:tcPr>
          <w:p w14:paraId="4DB659B1" w14:textId="1033B5DB"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 xml:space="preserve">Proponowane wskaźniki  </w:t>
            </w:r>
          </w:p>
        </w:tc>
      </w:tr>
      <w:tr w:rsidR="002E27B9" w:rsidRPr="005155C7" w14:paraId="74CD9D25" w14:textId="77777777" w:rsidTr="007C6CA4">
        <w:trPr>
          <w:trHeight w:val="2243"/>
        </w:trPr>
        <w:tc>
          <w:tcPr>
            <w:tcW w:w="3114" w:type="dxa"/>
          </w:tcPr>
          <w:p w14:paraId="5B86B77D"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podjęcie działań na rzecz włączenia społecznego i przeciwdziałanie procesom wykluczenia (szeroko rozumianego)</w:t>
            </w:r>
          </w:p>
          <w:p w14:paraId="5A3A2DEB" w14:textId="77777777" w:rsidR="002E27B9" w:rsidRPr="005155C7" w:rsidRDefault="002E27B9" w:rsidP="005155C7">
            <w:pPr>
              <w:autoSpaceDE w:val="0"/>
              <w:autoSpaceDN w:val="0"/>
              <w:adjustRightInd w:val="0"/>
              <w:spacing w:line="276" w:lineRule="auto"/>
              <w:jc w:val="both"/>
              <w:rPr>
                <w:rFonts w:ascii="Times New Roman" w:hAnsi="Times New Roman" w:cs="Times New Roman"/>
                <w:sz w:val="24"/>
                <w:szCs w:val="24"/>
              </w:rPr>
            </w:pPr>
          </w:p>
        </w:tc>
        <w:tc>
          <w:tcPr>
            <w:tcW w:w="5948" w:type="dxa"/>
          </w:tcPr>
          <w:p w14:paraId="69C48ECD" w14:textId="3F6754CB" w:rsidR="002E27B9" w:rsidRPr="007C6CA4" w:rsidRDefault="00DE6472" w:rsidP="007C6CA4">
            <w:pPr>
              <w:pStyle w:val="Akapitzlist"/>
              <w:numPr>
                <w:ilvl w:val="0"/>
                <w:numId w:val="118"/>
              </w:numPr>
              <w:autoSpaceDE w:val="0"/>
              <w:autoSpaceDN w:val="0"/>
              <w:adjustRightInd w:val="0"/>
              <w:spacing w:line="276" w:lineRule="auto"/>
              <w:ind w:left="714" w:hanging="357"/>
              <w:jc w:val="both"/>
              <w:rPr>
                <w:rFonts w:ascii="Times New Roman" w:hAnsi="Times New Roman" w:cs="Times New Roman"/>
                <w:sz w:val="24"/>
                <w:szCs w:val="24"/>
              </w:rPr>
            </w:pPr>
            <w:r w:rsidRPr="007C6CA4">
              <w:rPr>
                <w:rFonts w:ascii="Times New Roman" w:hAnsi="Times New Roman" w:cs="Times New Roman"/>
                <w:sz w:val="24"/>
                <w:szCs w:val="24"/>
              </w:rPr>
              <w:t>Liczba wielofunkcyjnych, integrujących przestrzeni publicznych</w:t>
            </w:r>
          </w:p>
          <w:p w14:paraId="41FC31A1" w14:textId="77777777" w:rsidR="00DE6472" w:rsidRPr="005155C7" w:rsidRDefault="00DE6472" w:rsidP="007C6CA4">
            <w:pPr>
              <w:pStyle w:val="Akapitzlist"/>
              <w:numPr>
                <w:ilvl w:val="0"/>
                <w:numId w:val="118"/>
              </w:numPr>
              <w:autoSpaceDE w:val="0"/>
              <w:autoSpaceDN w:val="0"/>
              <w:adjustRightInd w:val="0"/>
              <w:spacing w:line="276" w:lineRule="auto"/>
              <w:ind w:left="714" w:hanging="357"/>
              <w:jc w:val="both"/>
              <w:rPr>
                <w:rFonts w:ascii="Times New Roman" w:hAnsi="Times New Roman" w:cs="Times New Roman"/>
                <w:sz w:val="24"/>
                <w:szCs w:val="24"/>
              </w:rPr>
            </w:pPr>
            <w:r w:rsidRPr="005155C7">
              <w:rPr>
                <w:rFonts w:ascii="Times New Roman" w:hAnsi="Times New Roman" w:cs="Times New Roman"/>
                <w:sz w:val="24"/>
                <w:szCs w:val="24"/>
              </w:rPr>
              <w:t xml:space="preserve">Liczba wydarzeń odbywających się w tych przestrzeniach oraz liczba uczestników tych wydarzeń </w:t>
            </w:r>
          </w:p>
          <w:p w14:paraId="00165BD5" w14:textId="52A41425" w:rsidR="00DE6472" w:rsidRPr="005155C7" w:rsidRDefault="00DE6472" w:rsidP="007C6CA4">
            <w:pPr>
              <w:pStyle w:val="Akapitzlist"/>
              <w:numPr>
                <w:ilvl w:val="0"/>
                <w:numId w:val="118"/>
              </w:numPr>
              <w:autoSpaceDE w:val="0"/>
              <w:autoSpaceDN w:val="0"/>
              <w:adjustRightInd w:val="0"/>
              <w:spacing w:line="276" w:lineRule="auto"/>
              <w:ind w:left="714" w:hanging="357"/>
              <w:jc w:val="both"/>
              <w:rPr>
                <w:rFonts w:ascii="Times New Roman" w:hAnsi="Times New Roman" w:cs="Times New Roman"/>
                <w:sz w:val="24"/>
                <w:szCs w:val="24"/>
              </w:rPr>
            </w:pPr>
            <w:r w:rsidRPr="005155C7">
              <w:rPr>
                <w:rFonts w:ascii="Times New Roman" w:hAnsi="Times New Roman" w:cs="Times New Roman"/>
                <w:sz w:val="24"/>
                <w:szCs w:val="24"/>
              </w:rPr>
              <w:t xml:space="preserve">Liczba zlikwidowanych barier architektonicznych w obiektach i przestrzeniach publicznych  </w:t>
            </w:r>
          </w:p>
        </w:tc>
      </w:tr>
      <w:tr w:rsidR="002E27B9" w:rsidRPr="005155C7" w14:paraId="0019E400" w14:textId="77777777" w:rsidTr="00DA1F7B">
        <w:tc>
          <w:tcPr>
            <w:tcW w:w="3114" w:type="dxa"/>
          </w:tcPr>
          <w:p w14:paraId="0F127913" w14:textId="77777777" w:rsidR="002E27B9" w:rsidRPr="005155C7" w:rsidRDefault="002E27B9" w:rsidP="005155C7">
            <w:pPr>
              <w:autoSpaceDE w:val="0"/>
              <w:autoSpaceDN w:val="0"/>
              <w:adjustRightInd w:val="0"/>
              <w:spacing w:line="276" w:lineRule="auto"/>
              <w:jc w:val="both"/>
              <w:rPr>
                <w:rFonts w:ascii="Times New Roman" w:hAnsi="Times New Roman" w:cs="Times New Roman"/>
                <w:b/>
                <w:bCs/>
                <w:sz w:val="24"/>
                <w:szCs w:val="24"/>
              </w:rPr>
            </w:pPr>
            <w:r w:rsidRPr="005155C7">
              <w:rPr>
                <w:rFonts w:ascii="Times New Roman" w:hAnsi="Times New Roman" w:cs="Times New Roman"/>
                <w:b/>
                <w:bCs/>
                <w:sz w:val="24"/>
                <w:szCs w:val="24"/>
              </w:rPr>
              <w:t>tworzenie klimatu dla rozwoju przedsiębiorczości</w:t>
            </w:r>
          </w:p>
        </w:tc>
        <w:tc>
          <w:tcPr>
            <w:tcW w:w="5948" w:type="dxa"/>
          </w:tcPr>
          <w:p w14:paraId="4482EFB1" w14:textId="79C12058" w:rsidR="002E27B9" w:rsidRPr="005155C7" w:rsidRDefault="002E27B9" w:rsidP="005155C7">
            <w:pPr>
              <w:numPr>
                <w:ilvl w:val="0"/>
                <w:numId w:val="115"/>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Liczba nowopowstałych działalności gospodarczych</w:t>
            </w:r>
          </w:p>
          <w:p w14:paraId="52BB8CEB" w14:textId="261D9D8F" w:rsidR="002E27B9" w:rsidRPr="005155C7" w:rsidRDefault="002E27B9" w:rsidP="005155C7">
            <w:pPr>
              <w:numPr>
                <w:ilvl w:val="0"/>
                <w:numId w:val="115"/>
              </w:numPr>
              <w:autoSpaceDE w:val="0"/>
              <w:autoSpaceDN w:val="0"/>
              <w:adjustRightInd w:val="0"/>
              <w:spacing w:line="276" w:lineRule="auto"/>
              <w:jc w:val="both"/>
              <w:rPr>
                <w:rFonts w:ascii="Times New Roman" w:hAnsi="Times New Roman" w:cs="Times New Roman"/>
                <w:sz w:val="24"/>
                <w:szCs w:val="24"/>
              </w:rPr>
            </w:pPr>
            <w:r w:rsidRPr="005155C7">
              <w:rPr>
                <w:rFonts w:ascii="Times New Roman" w:hAnsi="Times New Roman" w:cs="Times New Roman"/>
                <w:sz w:val="24"/>
                <w:szCs w:val="24"/>
              </w:rPr>
              <w:t xml:space="preserve">Liczba przedsiębiorstw ekonomii społecznej </w:t>
            </w:r>
          </w:p>
        </w:tc>
      </w:tr>
    </w:tbl>
    <w:p w14:paraId="7C4C7231" w14:textId="77777777" w:rsidR="002E27B9" w:rsidRPr="005155C7" w:rsidRDefault="002E27B9" w:rsidP="005155C7">
      <w:pPr>
        <w:autoSpaceDE w:val="0"/>
        <w:autoSpaceDN w:val="0"/>
        <w:adjustRightInd w:val="0"/>
        <w:spacing w:after="0" w:line="276" w:lineRule="auto"/>
        <w:jc w:val="both"/>
        <w:rPr>
          <w:rFonts w:ascii="Times New Roman" w:hAnsi="Times New Roman" w:cs="Times New Roman"/>
          <w:sz w:val="24"/>
          <w:szCs w:val="24"/>
        </w:rPr>
      </w:pPr>
      <w:r w:rsidRPr="005155C7">
        <w:rPr>
          <w:rFonts w:ascii="Times New Roman" w:hAnsi="Times New Roman" w:cs="Times New Roman"/>
          <w:sz w:val="24"/>
          <w:szCs w:val="24"/>
        </w:rPr>
        <w:t>Źródło: opracowanie własne</w:t>
      </w:r>
    </w:p>
    <w:p w14:paraId="2E4B038A" w14:textId="0ED3881F" w:rsidR="0039004C" w:rsidRPr="005155C7" w:rsidRDefault="0039004C" w:rsidP="005155C7">
      <w:pPr>
        <w:pStyle w:val="EJNormalny"/>
        <w:rPr>
          <w:rFonts w:ascii="Times New Roman" w:hAnsi="Times New Roman"/>
        </w:rPr>
      </w:pPr>
    </w:p>
    <w:bookmarkEnd w:id="41"/>
    <w:p w14:paraId="046D4710" w14:textId="77777777" w:rsidR="0039004C" w:rsidRPr="005155C7" w:rsidRDefault="0039004C" w:rsidP="005155C7">
      <w:pPr>
        <w:pStyle w:val="EJNormalny"/>
        <w:ind w:firstLine="0"/>
        <w:rPr>
          <w:rFonts w:ascii="Times New Roman" w:hAnsi="Times New Roman"/>
        </w:rPr>
      </w:pPr>
    </w:p>
    <w:p w14:paraId="5336CDB0" w14:textId="5E899D9F" w:rsidR="00BF0D83" w:rsidRPr="005155C7" w:rsidRDefault="00BF0D83" w:rsidP="005155C7">
      <w:pPr>
        <w:pStyle w:val="EJNormalny"/>
        <w:rPr>
          <w:rFonts w:ascii="Times New Roman" w:hAnsi="Times New Roman"/>
        </w:rPr>
      </w:pPr>
      <w:r w:rsidRPr="005155C7">
        <w:rPr>
          <w:rFonts w:ascii="Times New Roman" w:hAnsi="Times New Roman"/>
        </w:rPr>
        <w:t xml:space="preserve">Ponadto </w:t>
      </w:r>
      <w:r w:rsidR="007C6CA4">
        <w:rPr>
          <w:rFonts w:ascii="Times New Roman" w:hAnsi="Times New Roman"/>
        </w:rPr>
        <w:t xml:space="preserve">oprócz systemu monitoringu, </w:t>
      </w:r>
      <w:r w:rsidRPr="005155C7">
        <w:rPr>
          <w:rFonts w:ascii="Times New Roman" w:hAnsi="Times New Roman"/>
        </w:rPr>
        <w:t>raz na trzy lata proponuje się przeprowadzenie uproszczonej</w:t>
      </w:r>
      <w:r w:rsidR="006C75A3" w:rsidRPr="005155C7">
        <w:rPr>
          <w:rFonts w:ascii="Times New Roman" w:hAnsi="Times New Roman"/>
        </w:rPr>
        <w:t xml:space="preserve"> ewaluacji, która powinna być wykonana metodami partycypacyjnymi,</w:t>
      </w:r>
      <w:r w:rsidRPr="005155C7">
        <w:rPr>
          <w:rFonts w:ascii="Times New Roman" w:hAnsi="Times New Roman"/>
        </w:rPr>
        <w:t xml:space="preserve"> poszukując odpowiedzi na następujące pytania:</w:t>
      </w:r>
    </w:p>
    <w:p w14:paraId="787DBDA3" w14:textId="67DFD895" w:rsidR="00BF0D83" w:rsidRPr="005155C7" w:rsidRDefault="00BF0D83" w:rsidP="005155C7">
      <w:pPr>
        <w:pStyle w:val="EJNormalny"/>
        <w:numPr>
          <w:ilvl w:val="0"/>
          <w:numId w:val="106"/>
        </w:numPr>
        <w:rPr>
          <w:rFonts w:ascii="Times New Roman" w:hAnsi="Times New Roman"/>
        </w:rPr>
      </w:pPr>
      <w:r w:rsidRPr="005155C7">
        <w:rPr>
          <w:rFonts w:ascii="Times New Roman" w:hAnsi="Times New Roman"/>
        </w:rPr>
        <w:t xml:space="preserve">jakie zmiany zaszły w otoczeniu Gminy, w tym czy </w:t>
      </w:r>
      <w:r w:rsidR="007C6CA4">
        <w:rPr>
          <w:rFonts w:ascii="Times New Roman" w:hAnsi="Times New Roman"/>
        </w:rPr>
        <w:t xml:space="preserve">i jak </w:t>
      </w:r>
      <w:r w:rsidRPr="005155C7">
        <w:rPr>
          <w:rFonts w:ascii="Times New Roman" w:hAnsi="Times New Roman"/>
        </w:rPr>
        <w:t>zmieniły się dokumenty wyższego rzędu, do których nawiązuje Strategia;</w:t>
      </w:r>
    </w:p>
    <w:p w14:paraId="0AE11B37" w14:textId="4C750F4C" w:rsidR="00BF0D83" w:rsidRPr="005155C7" w:rsidRDefault="00BF0D83" w:rsidP="005155C7">
      <w:pPr>
        <w:pStyle w:val="EJNormalny"/>
        <w:numPr>
          <w:ilvl w:val="0"/>
          <w:numId w:val="106"/>
        </w:numPr>
        <w:rPr>
          <w:rFonts w:ascii="Times New Roman" w:hAnsi="Times New Roman"/>
        </w:rPr>
      </w:pPr>
      <w:r w:rsidRPr="005155C7">
        <w:rPr>
          <w:rFonts w:ascii="Times New Roman" w:hAnsi="Times New Roman"/>
        </w:rPr>
        <w:t xml:space="preserve">czy cele zapisane w Strategii pozostają aktualne i adekwatne do uwarunkowań </w:t>
      </w:r>
      <w:r w:rsidR="007C6CA4">
        <w:rPr>
          <w:rFonts w:ascii="Times New Roman" w:hAnsi="Times New Roman"/>
        </w:rPr>
        <w:t xml:space="preserve">i wyzwań </w:t>
      </w:r>
      <w:r w:rsidRPr="005155C7">
        <w:rPr>
          <w:rFonts w:ascii="Times New Roman" w:hAnsi="Times New Roman"/>
        </w:rPr>
        <w:t>rozwojowych Gminy;</w:t>
      </w:r>
    </w:p>
    <w:p w14:paraId="78DDD056" w14:textId="77777777" w:rsidR="00BF0D83" w:rsidRPr="005155C7" w:rsidRDefault="00BF0D83" w:rsidP="005155C7">
      <w:pPr>
        <w:pStyle w:val="EJNormalny"/>
        <w:numPr>
          <w:ilvl w:val="0"/>
          <w:numId w:val="106"/>
        </w:numPr>
        <w:rPr>
          <w:rFonts w:ascii="Times New Roman" w:hAnsi="Times New Roman"/>
        </w:rPr>
      </w:pPr>
      <w:r w:rsidRPr="005155C7">
        <w:rPr>
          <w:rFonts w:ascii="Times New Roman" w:hAnsi="Times New Roman"/>
        </w:rPr>
        <w:t>czy są cele, które zostały już zrealizowane (lub uległy dezaktualizacji) i powinny zostać usunięte ze Strategii.</w:t>
      </w:r>
    </w:p>
    <w:p w14:paraId="6089B71E" w14:textId="101B5091" w:rsidR="00BF0D83" w:rsidRPr="005155C7" w:rsidRDefault="00BF0D83" w:rsidP="005155C7">
      <w:pPr>
        <w:pStyle w:val="EJNormalny"/>
        <w:ind w:firstLine="0"/>
        <w:rPr>
          <w:rFonts w:ascii="Times New Roman" w:hAnsi="Times New Roman"/>
          <w:color w:val="auto"/>
        </w:rPr>
      </w:pPr>
      <w:r w:rsidRPr="005155C7">
        <w:rPr>
          <w:rFonts w:ascii="Times New Roman" w:hAnsi="Times New Roman"/>
        </w:rPr>
        <w:t>Uproszczona ewaluacja powinna wykorzystywać raporty z realizacji, zestawienie osiągniętych wskaźników i metod</w:t>
      </w:r>
      <w:r w:rsidR="0039004C" w:rsidRPr="005155C7">
        <w:rPr>
          <w:rFonts w:ascii="Times New Roman" w:hAnsi="Times New Roman"/>
        </w:rPr>
        <w:t>y</w:t>
      </w:r>
      <w:r w:rsidRPr="005155C7">
        <w:rPr>
          <w:rFonts w:ascii="Times New Roman" w:hAnsi="Times New Roman"/>
        </w:rPr>
        <w:t xml:space="preserve"> pracy warsztatowej i dyskusyjne</w:t>
      </w:r>
      <w:r w:rsidR="0039004C" w:rsidRPr="005155C7">
        <w:rPr>
          <w:rFonts w:ascii="Times New Roman" w:hAnsi="Times New Roman"/>
        </w:rPr>
        <w:t>j.</w:t>
      </w:r>
    </w:p>
    <w:p w14:paraId="05E149DE" w14:textId="77777777" w:rsidR="00BF0D83" w:rsidRPr="005155C7" w:rsidRDefault="00BF0D83" w:rsidP="005155C7">
      <w:pPr>
        <w:pStyle w:val="EJNormalny"/>
        <w:ind w:firstLine="0"/>
        <w:rPr>
          <w:rFonts w:ascii="Times New Roman" w:hAnsi="Times New Roman"/>
          <w:color w:val="auto"/>
        </w:rPr>
      </w:pPr>
    </w:p>
    <w:p w14:paraId="45084E11" w14:textId="77777777" w:rsidR="00362AF9" w:rsidRPr="005155C7" w:rsidRDefault="00362AF9" w:rsidP="005155C7">
      <w:pPr>
        <w:pStyle w:val="EJNormalny"/>
        <w:ind w:firstLine="0"/>
        <w:rPr>
          <w:rFonts w:ascii="Times New Roman" w:hAnsi="Times New Roman"/>
          <w:color w:val="auto"/>
        </w:rPr>
      </w:pPr>
      <w:r w:rsidRPr="005155C7">
        <w:rPr>
          <w:rFonts w:ascii="Times New Roman" w:hAnsi="Times New Roman"/>
          <w:color w:val="auto"/>
        </w:rPr>
        <w:t>Z  punktu widzenia instytucjonalnego,  za wdrażanie, zarządzanie, monitoring i ewaluację Strategii odpowiada:</w:t>
      </w:r>
    </w:p>
    <w:p w14:paraId="6AA7ADDA" w14:textId="77777777" w:rsidR="00362AF9" w:rsidRPr="005155C7" w:rsidRDefault="00362AF9" w:rsidP="005155C7">
      <w:pPr>
        <w:pStyle w:val="EJNormalny"/>
        <w:numPr>
          <w:ilvl w:val="0"/>
          <w:numId w:val="105"/>
        </w:numPr>
        <w:rPr>
          <w:rFonts w:ascii="Times New Roman" w:hAnsi="Times New Roman"/>
          <w:color w:val="auto"/>
        </w:rPr>
      </w:pPr>
      <w:r w:rsidRPr="005155C7">
        <w:rPr>
          <w:rFonts w:ascii="Times New Roman" w:hAnsi="Times New Roman"/>
          <w:color w:val="auto"/>
        </w:rPr>
        <w:t>Burmistrz, jako organ wykonawczy, do zadań którego należy stymulowanie i koordynacja działań oraz integrowanie zasobów;</w:t>
      </w:r>
    </w:p>
    <w:p w14:paraId="3DC56F91" w14:textId="43F94826" w:rsidR="00362AF9" w:rsidRPr="005155C7" w:rsidRDefault="00362AF9" w:rsidP="005155C7">
      <w:pPr>
        <w:pStyle w:val="EJNormalny"/>
        <w:numPr>
          <w:ilvl w:val="0"/>
          <w:numId w:val="105"/>
        </w:numPr>
        <w:rPr>
          <w:rFonts w:ascii="Times New Roman" w:hAnsi="Times New Roman"/>
          <w:color w:val="auto"/>
        </w:rPr>
      </w:pPr>
      <w:r w:rsidRPr="005155C7">
        <w:rPr>
          <w:rFonts w:ascii="Times New Roman" w:hAnsi="Times New Roman"/>
          <w:color w:val="auto"/>
        </w:rPr>
        <w:t>Rada Mi</w:t>
      </w:r>
      <w:r w:rsidR="0039004C" w:rsidRPr="005155C7">
        <w:rPr>
          <w:rFonts w:ascii="Times New Roman" w:hAnsi="Times New Roman"/>
          <w:color w:val="auto"/>
        </w:rPr>
        <w:t>ejska Góry Kalwaria</w:t>
      </w:r>
      <w:r w:rsidRPr="005155C7">
        <w:rPr>
          <w:rFonts w:ascii="Times New Roman" w:hAnsi="Times New Roman"/>
          <w:color w:val="auto"/>
        </w:rPr>
        <w:t xml:space="preserve"> – stanowiąca wsparcie merytoryczne przy realizacji i ewaluacji Strategii oraz podejmowaniu decyzji strategicznych;</w:t>
      </w:r>
    </w:p>
    <w:p w14:paraId="5A55F2AE" w14:textId="4B535EE0" w:rsidR="00362AF9" w:rsidRPr="005155C7" w:rsidRDefault="00362AF9" w:rsidP="005155C7">
      <w:pPr>
        <w:pStyle w:val="EJNormalny"/>
        <w:numPr>
          <w:ilvl w:val="0"/>
          <w:numId w:val="105"/>
        </w:numPr>
        <w:rPr>
          <w:rFonts w:ascii="Times New Roman" w:hAnsi="Times New Roman"/>
          <w:color w:val="auto"/>
        </w:rPr>
      </w:pPr>
      <w:r w:rsidRPr="005155C7">
        <w:rPr>
          <w:rFonts w:ascii="Times New Roman" w:hAnsi="Times New Roman"/>
          <w:color w:val="auto"/>
        </w:rPr>
        <w:t>podmiot zarządzający, czyli komórka</w:t>
      </w:r>
      <w:r w:rsidR="0039004C" w:rsidRPr="005155C7">
        <w:rPr>
          <w:rFonts w:ascii="Times New Roman" w:hAnsi="Times New Roman"/>
          <w:color w:val="auto"/>
        </w:rPr>
        <w:t>/zespół</w:t>
      </w:r>
      <w:r w:rsidRPr="005155C7">
        <w:rPr>
          <w:rFonts w:ascii="Times New Roman" w:hAnsi="Times New Roman"/>
          <w:color w:val="auto"/>
        </w:rPr>
        <w:t xml:space="preserve"> w ramach Urzędu odpowiadający za koordynację i zarządzanie bieżące realizacją podejmowanych  działań. </w:t>
      </w:r>
      <w:r w:rsidR="0039004C" w:rsidRPr="005155C7">
        <w:rPr>
          <w:rFonts w:ascii="Times New Roman" w:hAnsi="Times New Roman"/>
          <w:color w:val="auto"/>
        </w:rPr>
        <w:t xml:space="preserve">Przewiduje się, </w:t>
      </w:r>
      <w:r w:rsidR="0039004C" w:rsidRPr="005155C7">
        <w:rPr>
          <w:rFonts w:ascii="Times New Roman" w:hAnsi="Times New Roman"/>
          <w:color w:val="auto"/>
        </w:rPr>
        <w:lastRenderedPageBreak/>
        <w:t>że będzie to zespół ds. wdrażania Strategii, którego celem będzie m.in.  koordynowanie współpracy różnych podmiotów współdziałających w ramach Strategii.</w:t>
      </w:r>
    </w:p>
    <w:p w14:paraId="0354A041" w14:textId="391B924B" w:rsidR="00A84242" w:rsidRPr="005155C7" w:rsidRDefault="00362AF9" w:rsidP="005155C7">
      <w:pPr>
        <w:pStyle w:val="EJNormalny"/>
        <w:ind w:firstLine="0"/>
        <w:rPr>
          <w:rFonts w:ascii="Times New Roman" w:eastAsiaTheme="minorEastAsia" w:hAnsi="Times New Roman"/>
          <w:kern w:val="24"/>
        </w:rPr>
      </w:pPr>
      <w:r w:rsidRPr="005155C7">
        <w:rPr>
          <w:rFonts w:ascii="Times New Roman" w:hAnsi="Times New Roman"/>
          <w:color w:val="auto"/>
        </w:rPr>
        <w:t>Współpraca podejmowana w ramach  wdrażania Strategii   będzie podejmowana w oparciu o zasady</w:t>
      </w:r>
      <w:r w:rsidR="00A84242" w:rsidRPr="005155C7">
        <w:rPr>
          <w:rFonts w:ascii="Times New Roman" w:hAnsi="Times New Roman"/>
          <w:color w:val="auto"/>
        </w:rPr>
        <w:t xml:space="preserve"> (główne i szczegółowe). Do zasad głównych należy: </w:t>
      </w:r>
      <w:r w:rsidR="00A84242" w:rsidRPr="00F206D5">
        <w:rPr>
          <w:rFonts w:ascii="Times New Roman" w:eastAsiaTheme="minorEastAsia" w:hAnsi="Times New Roman"/>
          <w:b/>
          <w:bCs/>
          <w:kern w:val="24"/>
        </w:rPr>
        <w:t>oparcie się na „trójkącie współpracy”</w:t>
      </w:r>
      <w:r w:rsidR="00A84242" w:rsidRPr="005155C7">
        <w:rPr>
          <w:rFonts w:ascii="Times New Roman" w:eastAsiaTheme="minorEastAsia" w:hAnsi="Times New Roman"/>
          <w:kern w:val="24"/>
        </w:rPr>
        <w:t xml:space="preserve"> oraz </w:t>
      </w:r>
      <w:r w:rsidR="00A84242" w:rsidRPr="00F206D5">
        <w:rPr>
          <w:rFonts w:ascii="Times New Roman" w:eastAsiaTheme="minorEastAsia" w:hAnsi="Times New Roman"/>
          <w:b/>
          <w:bCs/>
          <w:kern w:val="24"/>
        </w:rPr>
        <w:t>zintegrowanym podejściu do polityki rozwoju</w:t>
      </w:r>
      <w:r w:rsidR="00A84242" w:rsidRPr="005155C7">
        <w:rPr>
          <w:rFonts w:ascii="Times New Roman" w:eastAsiaTheme="minorEastAsia" w:hAnsi="Times New Roman"/>
          <w:kern w:val="24"/>
        </w:rPr>
        <w:t xml:space="preserve">  (uwzgledniające oprócz aspektów społeczno-gospodarczych także aspekty przestrzenne). </w:t>
      </w:r>
    </w:p>
    <w:p w14:paraId="60949E20" w14:textId="77777777" w:rsidR="00A84242" w:rsidRPr="005155C7" w:rsidRDefault="00A84242" w:rsidP="005155C7">
      <w:pPr>
        <w:spacing w:after="0" w:line="276" w:lineRule="auto"/>
        <w:contextualSpacing/>
        <w:rPr>
          <w:rFonts w:ascii="Times New Roman" w:eastAsia="Times New Roman" w:hAnsi="Times New Roman" w:cs="Times New Roman"/>
          <w:sz w:val="24"/>
          <w:szCs w:val="24"/>
          <w:lang w:eastAsia="pl-PL"/>
        </w:rPr>
      </w:pPr>
      <w:r w:rsidRPr="005155C7">
        <w:rPr>
          <w:rFonts w:ascii="Times New Roman" w:eastAsiaTheme="minorEastAsia" w:hAnsi="Times New Roman" w:cs="Times New Roman"/>
          <w:color w:val="000000" w:themeColor="text1"/>
          <w:kern w:val="24"/>
          <w:sz w:val="24"/>
          <w:szCs w:val="24"/>
          <w:lang w:eastAsia="pl-PL"/>
        </w:rPr>
        <w:t xml:space="preserve">Zasady szczegółowe: </w:t>
      </w:r>
    </w:p>
    <w:p w14:paraId="40831A87" w14:textId="77777777" w:rsidR="00A84242" w:rsidRPr="005155C7" w:rsidRDefault="00A84242" w:rsidP="00F206D5">
      <w:pPr>
        <w:pStyle w:val="Akapitzlist"/>
        <w:numPr>
          <w:ilvl w:val="0"/>
          <w:numId w:val="107"/>
        </w:numPr>
        <w:spacing w:after="0" w:line="276" w:lineRule="auto"/>
        <w:jc w:val="both"/>
        <w:rPr>
          <w:rFonts w:ascii="Times New Roman" w:eastAsia="Times New Roman" w:hAnsi="Times New Roman" w:cs="Times New Roman"/>
          <w:sz w:val="24"/>
          <w:szCs w:val="24"/>
          <w:lang w:eastAsia="pl-PL"/>
        </w:rPr>
      </w:pPr>
      <w:r w:rsidRPr="005155C7">
        <w:rPr>
          <w:rFonts w:ascii="Times New Roman" w:eastAsia="Times New Roman" w:hAnsi="Times New Roman" w:cs="Times New Roman"/>
          <w:b/>
          <w:bCs/>
          <w:color w:val="000000" w:themeColor="text1"/>
          <w:kern w:val="24"/>
          <w:sz w:val="24"/>
          <w:szCs w:val="24"/>
          <w:lang w:eastAsia="pl-PL"/>
        </w:rPr>
        <w:t>transparentność</w:t>
      </w:r>
      <w:r w:rsidRPr="005155C7">
        <w:rPr>
          <w:rFonts w:ascii="Times New Roman" w:eastAsia="Times New Roman" w:hAnsi="Times New Roman" w:cs="Times New Roman"/>
          <w:color w:val="000000" w:themeColor="text1"/>
          <w:kern w:val="24"/>
          <w:sz w:val="24"/>
          <w:szCs w:val="24"/>
          <w:lang w:eastAsia="pl-PL"/>
        </w:rPr>
        <w:t xml:space="preserve"> – rozumianą jako przejrzystość w podejmowanych działaniach, jak i prowadzenie ciągłego dialogu z interesariuszami (informowanie o decyzjach, konsultowanie podejmowanych decyzji z różnymi grupami interesariuszy);</w:t>
      </w:r>
    </w:p>
    <w:p w14:paraId="009D82EA" w14:textId="77777777" w:rsidR="00A84242" w:rsidRPr="005155C7" w:rsidRDefault="00A84242" w:rsidP="00F206D5">
      <w:pPr>
        <w:pStyle w:val="Akapitzlist"/>
        <w:numPr>
          <w:ilvl w:val="0"/>
          <w:numId w:val="107"/>
        </w:numPr>
        <w:spacing w:after="0" w:line="276" w:lineRule="auto"/>
        <w:jc w:val="both"/>
        <w:rPr>
          <w:rFonts w:ascii="Times New Roman" w:eastAsia="Times New Roman" w:hAnsi="Times New Roman" w:cs="Times New Roman"/>
          <w:sz w:val="24"/>
          <w:szCs w:val="24"/>
          <w:lang w:eastAsia="pl-PL"/>
        </w:rPr>
      </w:pPr>
      <w:r w:rsidRPr="005155C7">
        <w:rPr>
          <w:rFonts w:ascii="Times New Roman" w:eastAsia="Times New Roman" w:hAnsi="Times New Roman" w:cs="Times New Roman"/>
          <w:b/>
          <w:bCs/>
          <w:color w:val="000000" w:themeColor="text1"/>
          <w:kern w:val="24"/>
          <w:sz w:val="24"/>
          <w:szCs w:val="24"/>
          <w:lang w:eastAsia="pl-PL"/>
        </w:rPr>
        <w:t xml:space="preserve">zrównoważony rozwój  </w:t>
      </w:r>
      <w:r w:rsidRPr="005155C7">
        <w:rPr>
          <w:rFonts w:ascii="Times New Roman" w:eastAsia="Times New Roman" w:hAnsi="Times New Roman" w:cs="Times New Roman"/>
          <w:color w:val="000000" w:themeColor="text1"/>
          <w:kern w:val="24"/>
          <w:sz w:val="24"/>
          <w:szCs w:val="24"/>
          <w:lang w:eastAsia="pl-PL"/>
        </w:rPr>
        <w:t xml:space="preserve">– zakładające zarówno integrację podsystemów: społecznego, gospodarczego i środowiskowego, jak i integrację na poziomie projektów służących realizacji celów Strategii; </w:t>
      </w:r>
    </w:p>
    <w:p w14:paraId="38161FA5" w14:textId="77777777" w:rsidR="003A4BA4" w:rsidRPr="005155C7" w:rsidRDefault="00A84242" w:rsidP="00F206D5">
      <w:pPr>
        <w:pStyle w:val="Akapitzlist"/>
        <w:numPr>
          <w:ilvl w:val="0"/>
          <w:numId w:val="107"/>
        </w:numPr>
        <w:spacing w:after="0" w:line="276" w:lineRule="auto"/>
        <w:jc w:val="both"/>
        <w:rPr>
          <w:rFonts w:ascii="Times New Roman" w:eastAsia="Times New Roman" w:hAnsi="Times New Roman" w:cs="Times New Roman"/>
          <w:sz w:val="24"/>
          <w:szCs w:val="24"/>
          <w:lang w:eastAsia="pl-PL"/>
        </w:rPr>
      </w:pPr>
      <w:r w:rsidRPr="005155C7">
        <w:rPr>
          <w:rFonts w:ascii="Times New Roman" w:eastAsia="Times New Roman" w:hAnsi="Times New Roman" w:cs="Times New Roman"/>
          <w:b/>
          <w:bCs/>
          <w:color w:val="000000" w:themeColor="text1"/>
          <w:kern w:val="24"/>
          <w:sz w:val="24"/>
          <w:szCs w:val="24"/>
          <w:lang w:eastAsia="pl-PL"/>
        </w:rPr>
        <w:t xml:space="preserve">montaż finansowy </w:t>
      </w:r>
      <w:r w:rsidRPr="005155C7">
        <w:rPr>
          <w:rFonts w:ascii="Times New Roman" w:eastAsia="Times New Roman" w:hAnsi="Times New Roman" w:cs="Times New Roman"/>
          <w:color w:val="000000" w:themeColor="text1"/>
          <w:kern w:val="24"/>
          <w:sz w:val="24"/>
          <w:szCs w:val="24"/>
          <w:lang w:eastAsia="pl-PL"/>
        </w:rPr>
        <w:t>zakładający realizację celów Strategii nie tylko ze środków budżetu miasta, ale i pozyskanie środków zewnętrznych oraz angażowanie środków innych podmiotów włączonych w realizację Strategii</w:t>
      </w:r>
      <w:r w:rsidR="003A4BA4" w:rsidRPr="005155C7">
        <w:rPr>
          <w:rFonts w:ascii="Times New Roman" w:eastAsia="Times New Roman" w:hAnsi="Times New Roman" w:cs="Times New Roman"/>
          <w:color w:val="000000" w:themeColor="text1"/>
          <w:kern w:val="24"/>
          <w:sz w:val="24"/>
          <w:szCs w:val="24"/>
          <w:lang w:eastAsia="pl-PL"/>
        </w:rPr>
        <w:t xml:space="preserve">; </w:t>
      </w:r>
      <w:r w:rsidRPr="005155C7">
        <w:rPr>
          <w:rFonts w:ascii="Times New Roman" w:eastAsia="Times New Roman" w:hAnsi="Times New Roman" w:cs="Times New Roman"/>
          <w:color w:val="000000" w:themeColor="text1"/>
          <w:kern w:val="24"/>
          <w:sz w:val="24"/>
          <w:szCs w:val="24"/>
          <w:lang w:eastAsia="pl-PL"/>
        </w:rPr>
        <w:t xml:space="preserve"> </w:t>
      </w:r>
    </w:p>
    <w:p w14:paraId="3D6828E8" w14:textId="77777777" w:rsidR="003A4BA4" w:rsidRPr="005155C7" w:rsidRDefault="00A84242" w:rsidP="00F206D5">
      <w:pPr>
        <w:pStyle w:val="Akapitzlist"/>
        <w:numPr>
          <w:ilvl w:val="0"/>
          <w:numId w:val="107"/>
        </w:numPr>
        <w:spacing w:after="0" w:line="276" w:lineRule="auto"/>
        <w:jc w:val="both"/>
        <w:rPr>
          <w:rFonts w:ascii="Times New Roman" w:eastAsia="Times New Roman" w:hAnsi="Times New Roman" w:cs="Times New Roman"/>
          <w:sz w:val="24"/>
          <w:szCs w:val="24"/>
          <w:lang w:eastAsia="pl-PL"/>
        </w:rPr>
      </w:pPr>
      <w:r w:rsidRPr="005155C7">
        <w:rPr>
          <w:rFonts w:ascii="Times New Roman" w:eastAsia="Times New Roman" w:hAnsi="Times New Roman" w:cs="Times New Roman"/>
          <w:b/>
          <w:bCs/>
          <w:color w:val="000000" w:themeColor="text1"/>
          <w:kern w:val="24"/>
          <w:sz w:val="24"/>
          <w:szCs w:val="24"/>
          <w:lang w:eastAsia="pl-PL"/>
        </w:rPr>
        <w:t>partycypacja i partnerstwo</w:t>
      </w:r>
      <w:r w:rsidRPr="005155C7">
        <w:rPr>
          <w:rFonts w:ascii="Times New Roman" w:eastAsia="Times New Roman" w:hAnsi="Times New Roman" w:cs="Times New Roman"/>
          <w:color w:val="000000" w:themeColor="text1"/>
          <w:kern w:val="24"/>
          <w:sz w:val="24"/>
          <w:szCs w:val="24"/>
          <w:lang w:eastAsia="pl-PL"/>
        </w:rPr>
        <w:t xml:space="preserve"> – zakładające dążenie do dialogu oraz współdecydowania i współodpowiedzialności</w:t>
      </w:r>
      <w:r w:rsidR="003A4BA4" w:rsidRPr="005155C7">
        <w:rPr>
          <w:rFonts w:ascii="Times New Roman" w:eastAsia="Times New Roman" w:hAnsi="Times New Roman" w:cs="Times New Roman"/>
          <w:color w:val="000000" w:themeColor="text1"/>
          <w:kern w:val="24"/>
          <w:sz w:val="24"/>
          <w:szCs w:val="24"/>
          <w:lang w:eastAsia="pl-PL"/>
        </w:rPr>
        <w:t xml:space="preserve">; </w:t>
      </w:r>
    </w:p>
    <w:p w14:paraId="5622621D" w14:textId="3CD11D91" w:rsidR="00A84242" w:rsidRPr="005155C7" w:rsidRDefault="00A84242" w:rsidP="00F206D5">
      <w:pPr>
        <w:pStyle w:val="Akapitzlist"/>
        <w:numPr>
          <w:ilvl w:val="0"/>
          <w:numId w:val="107"/>
        </w:numPr>
        <w:spacing w:after="0" w:line="276" w:lineRule="auto"/>
        <w:jc w:val="both"/>
        <w:rPr>
          <w:rFonts w:ascii="Times New Roman" w:eastAsia="Times New Roman" w:hAnsi="Times New Roman" w:cs="Times New Roman"/>
          <w:sz w:val="24"/>
          <w:szCs w:val="24"/>
          <w:lang w:eastAsia="pl-PL"/>
        </w:rPr>
      </w:pPr>
      <w:r w:rsidRPr="005155C7">
        <w:rPr>
          <w:rFonts w:ascii="Times New Roman" w:eastAsia="Times New Roman" w:hAnsi="Times New Roman" w:cs="Times New Roman"/>
          <w:b/>
          <w:bCs/>
          <w:color w:val="000000" w:themeColor="text1"/>
          <w:kern w:val="24"/>
          <w:sz w:val="24"/>
          <w:szCs w:val="24"/>
          <w:lang w:eastAsia="pl-PL"/>
        </w:rPr>
        <w:t xml:space="preserve">elastyczne reagowanie na zmiany w otoczeniu i wewnątrz gminy </w:t>
      </w:r>
      <w:r w:rsidRPr="005155C7">
        <w:rPr>
          <w:rFonts w:ascii="Times New Roman" w:eastAsia="Times New Roman" w:hAnsi="Times New Roman" w:cs="Times New Roman"/>
          <w:color w:val="000000" w:themeColor="text1"/>
          <w:kern w:val="24"/>
          <w:sz w:val="24"/>
          <w:szCs w:val="24"/>
          <w:lang w:eastAsia="pl-PL"/>
        </w:rPr>
        <w:t xml:space="preserve">- podejście zakładające monitorowanie i ewaluację a także analizę czynników otoczenia, które mogą wpływać na Strategię. </w:t>
      </w:r>
    </w:p>
    <w:p w14:paraId="58A65DE4" w14:textId="016CEB0B" w:rsidR="00A84242" w:rsidRPr="005155C7" w:rsidRDefault="00A84242" w:rsidP="005155C7">
      <w:pPr>
        <w:pStyle w:val="EJNormalny"/>
        <w:ind w:firstLine="0"/>
        <w:rPr>
          <w:rFonts w:ascii="Times New Roman" w:hAnsi="Times New Roman"/>
          <w:color w:val="auto"/>
        </w:rPr>
      </w:pPr>
    </w:p>
    <w:p w14:paraId="4A81B819" w14:textId="77777777" w:rsidR="00A84242" w:rsidRPr="005155C7" w:rsidRDefault="00A84242" w:rsidP="005155C7">
      <w:pPr>
        <w:pStyle w:val="EJNormalny"/>
        <w:ind w:firstLine="0"/>
        <w:rPr>
          <w:rFonts w:ascii="Times New Roman" w:hAnsi="Times New Roman"/>
          <w:color w:val="auto"/>
        </w:rPr>
      </w:pPr>
    </w:p>
    <w:p w14:paraId="38F287D0" w14:textId="74E09922" w:rsidR="00362AF9" w:rsidRDefault="00362AF9" w:rsidP="005155C7">
      <w:pPr>
        <w:spacing w:line="276" w:lineRule="auto"/>
        <w:rPr>
          <w:rFonts w:ascii="Times New Roman" w:hAnsi="Times New Roman" w:cs="Times New Roman"/>
          <w:sz w:val="24"/>
          <w:szCs w:val="24"/>
        </w:rPr>
      </w:pPr>
    </w:p>
    <w:p w14:paraId="675F9786" w14:textId="499B4741" w:rsidR="005155C7" w:rsidRDefault="005155C7" w:rsidP="005155C7">
      <w:pPr>
        <w:spacing w:line="276" w:lineRule="auto"/>
        <w:rPr>
          <w:rFonts w:ascii="Times New Roman" w:hAnsi="Times New Roman" w:cs="Times New Roman"/>
          <w:sz w:val="24"/>
          <w:szCs w:val="24"/>
        </w:rPr>
      </w:pPr>
    </w:p>
    <w:p w14:paraId="650960E0" w14:textId="33D67088" w:rsidR="00CD12B4" w:rsidRDefault="00CD12B4" w:rsidP="005155C7">
      <w:pPr>
        <w:spacing w:line="276" w:lineRule="auto"/>
        <w:rPr>
          <w:rFonts w:ascii="Times New Roman" w:hAnsi="Times New Roman" w:cs="Times New Roman"/>
          <w:sz w:val="24"/>
          <w:szCs w:val="24"/>
        </w:rPr>
      </w:pPr>
    </w:p>
    <w:p w14:paraId="44A7CE40" w14:textId="39CDCD83" w:rsidR="00CD12B4" w:rsidRDefault="00CD12B4" w:rsidP="005155C7">
      <w:pPr>
        <w:spacing w:line="276" w:lineRule="auto"/>
        <w:rPr>
          <w:rFonts w:ascii="Times New Roman" w:hAnsi="Times New Roman" w:cs="Times New Roman"/>
          <w:sz w:val="24"/>
          <w:szCs w:val="24"/>
        </w:rPr>
      </w:pPr>
    </w:p>
    <w:p w14:paraId="2751E213" w14:textId="185E3013" w:rsidR="00CD12B4" w:rsidRDefault="00CD12B4" w:rsidP="005155C7">
      <w:pPr>
        <w:spacing w:line="276" w:lineRule="auto"/>
        <w:rPr>
          <w:rFonts w:ascii="Times New Roman" w:hAnsi="Times New Roman" w:cs="Times New Roman"/>
          <w:sz w:val="24"/>
          <w:szCs w:val="24"/>
        </w:rPr>
      </w:pPr>
    </w:p>
    <w:p w14:paraId="70670119" w14:textId="5D198E23" w:rsidR="00CD12B4" w:rsidRDefault="00CD12B4" w:rsidP="005155C7">
      <w:pPr>
        <w:spacing w:line="276" w:lineRule="auto"/>
        <w:rPr>
          <w:rFonts w:ascii="Times New Roman" w:hAnsi="Times New Roman" w:cs="Times New Roman"/>
          <w:sz w:val="24"/>
          <w:szCs w:val="24"/>
        </w:rPr>
      </w:pPr>
    </w:p>
    <w:p w14:paraId="386ECB07" w14:textId="3B6945C0" w:rsidR="00CD12B4" w:rsidRDefault="00CD12B4" w:rsidP="005155C7">
      <w:pPr>
        <w:spacing w:line="276" w:lineRule="auto"/>
        <w:rPr>
          <w:rFonts w:ascii="Times New Roman" w:hAnsi="Times New Roman" w:cs="Times New Roman"/>
          <w:sz w:val="24"/>
          <w:szCs w:val="24"/>
        </w:rPr>
      </w:pPr>
    </w:p>
    <w:p w14:paraId="50A5A9FF" w14:textId="7E776DE8" w:rsidR="00F206D5" w:rsidRDefault="00F206D5" w:rsidP="005155C7">
      <w:pPr>
        <w:spacing w:line="276" w:lineRule="auto"/>
        <w:rPr>
          <w:rFonts w:ascii="Times New Roman" w:hAnsi="Times New Roman" w:cs="Times New Roman"/>
          <w:sz w:val="24"/>
          <w:szCs w:val="24"/>
        </w:rPr>
      </w:pPr>
    </w:p>
    <w:p w14:paraId="46C0480E" w14:textId="599914C8" w:rsidR="00F206D5" w:rsidRDefault="00F206D5" w:rsidP="005155C7">
      <w:pPr>
        <w:spacing w:line="276" w:lineRule="auto"/>
        <w:rPr>
          <w:rFonts w:ascii="Times New Roman" w:hAnsi="Times New Roman" w:cs="Times New Roman"/>
          <w:sz w:val="24"/>
          <w:szCs w:val="24"/>
        </w:rPr>
      </w:pPr>
    </w:p>
    <w:p w14:paraId="60BF125F" w14:textId="1D30BEED" w:rsidR="00F206D5" w:rsidRDefault="00F206D5" w:rsidP="005155C7">
      <w:pPr>
        <w:spacing w:line="276" w:lineRule="auto"/>
        <w:rPr>
          <w:rFonts w:ascii="Times New Roman" w:hAnsi="Times New Roman" w:cs="Times New Roman"/>
          <w:sz w:val="24"/>
          <w:szCs w:val="24"/>
        </w:rPr>
      </w:pPr>
    </w:p>
    <w:p w14:paraId="72193999" w14:textId="77777777" w:rsidR="00F206D5" w:rsidRDefault="00F206D5" w:rsidP="005155C7">
      <w:pPr>
        <w:spacing w:line="276" w:lineRule="auto"/>
        <w:rPr>
          <w:rFonts w:ascii="Times New Roman" w:hAnsi="Times New Roman" w:cs="Times New Roman"/>
          <w:sz w:val="24"/>
          <w:szCs w:val="24"/>
        </w:rPr>
      </w:pPr>
    </w:p>
    <w:p w14:paraId="7A6BA2D8" w14:textId="77777777" w:rsidR="00CD12B4" w:rsidRPr="005155C7" w:rsidRDefault="00CD12B4" w:rsidP="005155C7">
      <w:pPr>
        <w:spacing w:line="276" w:lineRule="auto"/>
        <w:rPr>
          <w:rFonts w:ascii="Times New Roman" w:hAnsi="Times New Roman" w:cs="Times New Roman"/>
          <w:sz w:val="24"/>
          <w:szCs w:val="24"/>
        </w:rPr>
      </w:pPr>
    </w:p>
    <w:p w14:paraId="6F1D4004" w14:textId="23E12A38" w:rsidR="00A17EB1" w:rsidRPr="00926698" w:rsidRDefault="00F206D5" w:rsidP="00F206D5">
      <w:pPr>
        <w:pStyle w:val="Nagwek1"/>
        <w:ind w:left="360"/>
        <w:rPr>
          <w:rFonts w:ascii="Times New Roman" w:hAnsi="Times New Roman" w:cs="Times New Roman"/>
          <w:b/>
          <w:bCs/>
          <w:color w:val="0070C0"/>
          <w:sz w:val="28"/>
          <w:szCs w:val="28"/>
        </w:rPr>
      </w:pPr>
      <w:bookmarkStart w:id="42" w:name="_Hlk119636456"/>
      <w:r>
        <w:rPr>
          <w:rFonts w:ascii="Times New Roman" w:hAnsi="Times New Roman" w:cs="Times New Roman"/>
          <w:b/>
          <w:bCs/>
          <w:color w:val="0070C0"/>
          <w:sz w:val="28"/>
          <w:szCs w:val="28"/>
        </w:rPr>
        <w:lastRenderedPageBreak/>
        <w:t>11.</w:t>
      </w:r>
      <w:r w:rsidR="00213798" w:rsidRPr="00926698">
        <w:rPr>
          <w:rFonts w:ascii="Times New Roman" w:hAnsi="Times New Roman" w:cs="Times New Roman"/>
          <w:b/>
          <w:bCs/>
          <w:color w:val="0070C0"/>
          <w:sz w:val="28"/>
          <w:szCs w:val="28"/>
        </w:rPr>
        <w:t>Ramy finansowe i źródła finansowania</w:t>
      </w:r>
      <w:bookmarkStart w:id="43" w:name="_Toc526974451"/>
    </w:p>
    <w:p w14:paraId="1E35A6C6" w14:textId="77777777" w:rsidR="008C584A" w:rsidRPr="008C584A" w:rsidRDefault="008C584A" w:rsidP="00A17EB1">
      <w:pPr>
        <w:keepNext/>
        <w:spacing w:before="120" w:after="60" w:line="240" w:lineRule="auto"/>
        <w:outlineLvl w:val="1"/>
        <w:rPr>
          <w:rFonts w:ascii="Times New Roman" w:eastAsia="Times New Roman" w:hAnsi="Times New Roman" w:cs="Arial"/>
          <w:b/>
          <w:bCs/>
          <w:sz w:val="24"/>
          <w:szCs w:val="24"/>
          <w:lang w:eastAsia="pl-PL"/>
        </w:rPr>
      </w:pPr>
      <w:bookmarkStart w:id="44" w:name="_Toc526974453"/>
      <w:bookmarkEnd w:id="42"/>
      <w:bookmarkEnd w:id="43"/>
      <w:r w:rsidRPr="008C584A">
        <w:rPr>
          <w:rFonts w:ascii="Times New Roman" w:eastAsia="Times New Roman" w:hAnsi="Times New Roman" w:cs="Arial"/>
          <w:b/>
          <w:bCs/>
          <w:sz w:val="24"/>
          <w:szCs w:val="24"/>
          <w:lang w:eastAsia="pl-PL"/>
        </w:rPr>
        <w:t>Dochody budżetu gminy Góra Kalwaria w latach 2014-2022</w:t>
      </w:r>
      <w:bookmarkEnd w:id="44"/>
    </w:p>
    <w:p w14:paraId="0B4BB37A" w14:textId="77777777" w:rsidR="008C584A" w:rsidRPr="008C584A" w:rsidRDefault="008C584A" w:rsidP="008C584A">
      <w:pPr>
        <w:spacing w:after="0" w:line="240" w:lineRule="auto"/>
        <w:rPr>
          <w:rFonts w:ascii="Times New Roman" w:eastAsia="Times New Roman" w:hAnsi="Times New Roman" w:cs="Times New Roman"/>
          <w:i/>
          <w:iCs/>
          <w:sz w:val="16"/>
          <w:szCs w:val="16"/>
          <w:lang w:eastAsia="pl-PL"/>
        </w:rPr>
      </w:pPr>
    </w:p>
    <w:p w14:paraId="723115FA" w14:textId="77777777" w:rsidR="008C584A" w:rsidRP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 latach 2014-2022 dochody budżetu gminy Góra Kalwaria wzrosły nominalnie z 88,3 mln zł do 186,7 mln zł. Ich poziom w 2022 roku liczony w cenach bieżących jest o 111,4% wyższy od osiągniętego w roku 2014. W badanym okresie realna wartość dochodów wzrosła o 86,3%, z 100,2 mln zł do 186,7 mln zł</w:t>
      </w:r>
      <w:r w:rsidRPr="008C584A">
        <w:rPr>
          <w:rFonts w:ascii="Times New Roman" w:eastAsia="Times New Roman" w:hAnsi="Times New Roman" w:cs="Times New Roman"/>
          <w:sz w:val="24"/>
          <w:szCs w:val="24"/>
          <w:vertAlign w:val="superscript"/>
          <w:lang w:eastAsia="pl-PL"/>
        </w:rPr>
        <w:footnoteReference w:id="3"/>
      </w:r>
      <w:r w:rsidRPr="008C584A">
        <w:rPr>
          <w:rFonts w:ascii="Times New Roman" w:eastAsia="Times New Roman" w:hAnsi="Times New Roman" w:cs="Times New Roman"/>
          <w:i/>
          <w:iCs/>
          <w:sz w:val="24"/>
          <w:szCs w:val="24"/>
          <w:lang w:eastAsia="pl-PL"/>
        </w:rPr>
        <w:t xml:space="preserve">. </w:t>
      </w:r>
      <w:r w:rsidRPr="008C584A">
        <w:rPr>
          <w:rFonts w:ascii="Times New Roman" w:eastAsia="Times New Roman" w:hAnsi="Times New Roman" w:cs="Times New Roman"/>
          <w:sz w:val="24"/>
          <w:szCs w:val="24"/>
          <w:lang w:eastAsia="pl-PL"/>
        </w:rPr>
        <w:t xml:space="preserve">W cenach stałych ich przyrost : </w:t>
      </w:r>
    </w:p>
    <w:p w14:paraId="6024FCAC" w14:textId="77777777" w:rsidR="008C584A" w:rsidRPr="008C584A" w:rsidRDefault="008C584A" w:rsidP="00F84B57">
      <w:pPr>
        <w:numPr>
          <w:ilvl w:val="0"/>
          <w:numId w:val="96"/>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 latach 2014-2018 wzrosły one z 100,2 mln zł do 147,1</w:t>
      </w:r>
      <w:r w:rsidRPr="008C584A">
        <w:rPr>
          <w:rFonts w:ascii="Times New Roman" w:eastAsia="Times New Roman" w:hAnsi="Times New Roman" w:cs="Times New Roman"/>
          <w:color w:val="000000"/>
          <w:sz w:val="24"/>
          <w:szCs w:val="24"/>
          <w:lang w:eastAsia="pl-PL"/>
        </w:rPr>
        <w:t xml:space="preserve"> mln zł, tj. o 46,8%,</w:t>
      </w:r>
    </w:p>
    <w:p w14:paraId="05FE3F36" w14:textId="77777777" w:rsidR="008C584A" w:rsidRPr="008C584A" w:rsidRDefault="008C584A" w:rsidP="00F84B57">
      <w:pPr>
        <w:numPr>
          <w:ilvl w:val="0"/>
          <w:numId w:val="96"/>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color w:val="000000"/>
          <w:sz w:val="24"/>
          <w:szCs w:val="24"/>
          <w:lang w:eastAsia="pl-PL"/>
        </w:rPr>
        <w:t xml:space="preserve">w latach 2018-2022 zanotowano przyrost ich wartości z </w:t>
      </w:r>
      <w:r w:rsidRPr="008C584A">
        <w:rPr>
          <w:rFonts w:ascii="Times New Roman" w:eastAsia="Times New Roman" w:hAnsi="Times New Roman" w:cs="Times New Roman"/>
          <w:sz w:val="24"/>
          <w:szCs w:val="24"/>
          <w:lang w:eastAsia="pl-PL"/>
        </w:rPr>
        <w:t>147,1</w:t>
      </w:r>
      <w:r w:rsidRPr="008C584A">
        <w:rPr>
          <w:rFonts w:ascii="Times New Roman" w:eastAsia="Times New Roman" w:hAnsi="Times New Roman" w:cs="Times New Roman"/>
          <w:color w:val="000000"/>
          <w:sz w:val="24"/>
          <w:szCs w:val="24"/>
          <w:lang w:eastAsia="pl-PL"/>
        </w:rPr>
        <w:t xml:space="preserve"> mln do </w:t>
      </w:r>
      <w:r w:rsidRPr="008C584A">
        <w:rPr>
          <w:rFonts w:ascii="Times New Roman" w:eastAsia="Times New Roman" w:hAnsi="Times New Roman" w:cs="Times New Roman"/>
          <w:sz w:val="24"/>
          <w:szCs w:val="24"/>
          <w:lang w:eastAsia="pl-PL"/>
        </w:rPr>
        <w:t>186,7 mln zł, tj. o 26,9%.</w:t>
      </w:r>
    </w:p>
    <w:p w14:paraId="05CB9D3D" w14:textId="7AF85E8C" w:rsidR="008C584A" w:rsidRDefault="008C584A" w:rsidP="00F84B57">
      <w:p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Zmiany budżetu gminy Góra Kalwaria w latach 2014-2022 zestawiono w tabeli </w:t>
      </w:r>
      <w:r w:rsidR="003B6DC7">
        <w:rPr>
          <w:rFonts w:ascii="Times New Roman" w:eastAsia="Times New Roman" w:hAnsi="Times New Roman" w:cs="Times New Roman"/>
          <w:sz w:val="24"/>
          <w:szCs w:val="24"/>
          <w:lang w:eastAsia="pl-PL"/>
        </w:rPr>
        <w:t>7</w:t>
      </w:r>
      <w:r w:rsidRPr="008C584A">
        <w:rPr>
          <w:rFonts w:ascii="Times New Roman" w:eastAsia="Times New Roman" w:hAnsi="Times New Roman" w:cs="Times New Roman"/>
          <w:sz w:val="24"/>
          <w:szCs w:val="24"/>
          <w:lang w:eastAsia="pl-PL"/>
        </w:rPr>
        <w:t>. Ilustracją graficzną jest ry</w:t>
      </w:r>
      <w:r w:rsidR="003B6DC7">
        <w:rPr>
          <w:rFonts w:ascii="Times New Roman" w:eastAsia="Times New Roman" w:hAnsi="Times New Roman" w:cs="Times New Roman"/>
          <w:sz w:val="24"/>
          <w:szCs w:val="24"/>
          <w:lang w:eastAsia="pl-PL"/>
        </w:rPr>
        <w:t>c.</w:t>
      </w:r>
      <w:r w:rsidRPr="008C584A">
        <w:rPr>
          <w:rFonts w:ascii="Times New Roman" w:eastAsia="Times New Roman" w:hAnsi="Times New Roman" w:cs="Times New Roman"/>
          <w:sz w:val="24"/>
          <w:szCs w:val="24"/>
          <w:lang w:eastAsia="pl-PL"/>
        </w:rPr>
        <w:t xml:space="preserve"> </w:t>
      </w:r>
      <w:r w:rsidR="003B6DC7">
        <w:rPr>
          <w:rFonts w:ascii="Times New Roman" w:eastAsia="Times New Roman" w:hAnsi="Times New Roman" w:cs="Times New Roman"/>
          <w:sz w:val="24"/>
          <w:szCs w:val="24"/>
          <w:lang w:eastAsia="pl-PL"/>
        </w:rPr>
        <w:t>6</w:t>
      </w:r>
      <w:r w:rsidRPr="008C584A">
        <w:rPr>
          <w:rFonts w:ascii="Times New Roman" w:eastAsia="Times New Roman" w:hAnsi="Times New Roman" w:cs="Times New Roman"/>
          <w:sz w:val="24"/>
          <w:szCs w:val="24"/>
          <w:lang w:eastAsia="pl-PL"/>
        </w:rPr>
        <w:t>.</w:t>
      </w:r>
    </w:p>
    <w:p w14:paraId="25500DF5" w14:textId="77777777" w:rsidR="003B6DC7" w:rsidRPr="008C584A" w:rsidRDefault="003B6DC7" w:rsidP="008C584A">
      <w:pPr>
        <w:spacing w:after="0" w:line="360" w:lineRule="auto"/>
        <w:jc w:val="both"/>
        <w:rPr>
          <w:rFonts w:ascii="Times New Roman" w:eastAsia="Times New Roman" w:hAnsi="Times New Roman" w:cs="Times New Roman"/>
          <w:sz w:val="24"/>
          <w:szCs w:val="24"/>
          <w:lang w:eastAsia="pl-PL"/>
        </w:rPr>
      </w:pPr>
    </w:p>
    <w:p w14:paraId="6F5BDD7D" w14:textId="2BE64B8F" w:rsidR="008C584A" w:rsidRPr="008C584A" w:rsidRDefault="008C584A" w:rsidP="008C584A">
      <w:pPr>
        <w:spacing w:after="0" w:line="240" w:lineRule="auto"/>
        <w:rPr>
          <w:rFonts w:ascii="Times New Roman" w:eastAsia="Times New Roman" w:hAnsi="Times New Roman" w:cs="Times New Roman"/>
          <w:sz w:val="24"/>
          <w:szCs w:val="24"/>
          <w:lang w:eastAsia="pl-PL"/>
        </w:rPr>
      </w:pPr>
      <w:bookmarkStart w:id="45" w:name="_Hlk119636196"/>
      <w:r w:rsidRPr="008C584A">
        <w:rPr>
          <w:rFonts w:ascii="Times New Roman" w:eastAsia="Times New Roman" w:hAnsi="Times New Roman" w:cs="Times New Roman"/>
          <w:sz w:val="24"/>
          <w:szCs w:val="24"/>
          <w:lang w:eastAsia="pl-PL"/>
        </w:rPr>
        <w:t xml:space="preserve">Tabela </w:t>
      </w:r>
      <w:r w:rsidR="003B6DC7">
        <w:rPr>
          <w:rFonts w:ascii="Times New Roman" w:eastAsia="Times New Roman" w:hAnsi="Times New Roman" w:cs="Times New Roman"/>
          <w:sz w:val="24"/>
          <w:szCs w:val="24"/>
          <w:lang w:eastAsia="pl-PL"/>
        </w:rPr>
        <w:t>7</w:t>
      </w:r>
      <w:r w:rsidRPr="008C584A">
        <w:rPr>
          <w:rFonts w:ascii="Times New Roman" w:eastAsia="Times New Roman" w:hAnsi="Times New Roman" w:cs="Times New Roman"/>
          <w:sz w:val="24"/>
          <w:szCs w:val="24"/>
          <w:lang w:eastAsia="pl-PL"/>
        </w:rPr>
        <w:t xml:space="preserve"> Dochody budżetu Gminy Góra Kalwaria w latach 2014-2022 (wartości nominalne i realne w zł).  </w:t>
      </w:r>
    </w:p>
    <w:tbl>
      <w:tblPr>
        <w:tblW w:w="57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214"/>
        <w:gridCol w:w="882"/>
        <w:gridCol w:w="957"/>
        <w:gridCol w:w="997"/>
        <w:gridCol w:w="884"/>
        <w:gridCol w:w="880"/>
        <w:gridCol w:w="955"/>
        <w:gridCol w:w="886"/>
        <w:gridCol w:w="962"/>
        <w:gridCol w:w="905"/>
        <w:gridCol w:w="953"/>
      </w:tblGrid>
      <w:tr w:rsidR="008C584A" w:rsidRPr="008C584A" w14:paraId="72B98901" w14:textId="77777777" w:rsidTr="005155C7">
        <w:trPr>
          <w:trHeight w:val="250"/>
          <w:jc w:val="center"/>
        </w:trPr>
        <w:tc>
          <w:tcPr>
            <w:tcW w:w="579" w:type="pct"/>
            <w:vMerge w:val="restart"/>
            <w:shd w:val="clear" w:color="auto" w:fill="D9E2F3" w:themeFill="accent1" w:themeFillTint="33"/>
            <w:vAlign w:val="bottom"/>
          </w:tcPr>
          <w:bookmarkEnd w:id="45"/>
          <w:p w14:paraId="324CE452" w14:textId="77777777" w:rsidR="008C584A" w:rsidRPr="005155C7" w:rsidRDefault="008C584A" w:rsidP="008C584A">
            <w:pPr>
              <w:spacing w:after="0" w:line="240" w:lineRule="auto"/>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Wyszczególnie-nie</w:t>
            </w:r>
          </w:p>
        </w:tc>
        <w:tc>
          <w:tcPr>
            <w:tcW w:w="878" w:type="pct"/>
            <w:gridSpan w:val="2"/>
            <w:shd w:val="clear" w:color="auto" w:fill="D9E2F3" w:themeFill="accent1" w:themeFillTint="33"/>
            <w:vAlign w:val="bottom"/>
          </w:tcPr>
          <w:p w14:paraId="4ADFE472"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2  0  1  4</w:t>
            </w:r>
          </w:p>
        </w:tc>
        <w:tc>
          <w:tcPr>
            <w:tcW w:w="898" w:type="pct"/>
            <w:gridSpan w:val="2"/>
            <w:shd w:val="clear" w:color="auto" w:fill="D9E2F3" w:themeFill="accent1" w:themeFillTint="33"/>
            <w:vAlign w:val="bottom"/>
          </w:tcPr>
          <w:p w14:paraId="0A4BCE45"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2  0  1  5</w:t>
            </w:r>
          </w:p>
        </w:tc>
        <w:tc>
          <w:tcPr>
            <w:tcW w:w="876" w:type="pct"/>
            <w:gridSpan w:val="2"/>
            <w:shd w:val="clear" w:color="auto" w:fill="D9E2F3" w:themeFill="accent1" w:themeFillTint="33"/>
            <w:vAlign w:val="bottom"/>
          </w:tcPr>
          <w:p w14:paraId="1934F347"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2  0  1  6</w:t>
            </w:r>
          </w:p>
        </w:tc>
        <w:tc>
          <w:tcPr>
            <w:tcW w:w="882" w:type="pct"/>
            <w:gridSpan w:val="2"/>
            <w:shd w:val="clear" w:color="auto" w:fill="D9E2F3" w:themeFill="accent1" w:themeFillTint="33"/>
            <w:vAlign w:val="bottom"/>
          </w:tcPr>
          <w:p w14:paraId="1F65A5D7"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2  0  1  7</w:t>
            </w:r>
          </w:p>
        </w:tc>
        <w:tc>
          <w:tcPr>
            <w:tcW w:w="887" w:type="pct"/>
            <w:gridSpan w:val="2"/>
            <w:shd w:val="clear" w:color="auto" w:fill="D9E2F3" w:themeFill="accent1" w:themeFillTint="33"/>
            <w:vAlign w:val="bottom"/>
          </w:tcPr>
          <w:p w14:paraId="1997E1AE"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2  0  1  8</w:t>
            </w:r>
          </w:p>
        </w:tc>
      </w:tr>
      <w:tr w:rsidR="008C584A" w:rsidRPr="008C584A" w14:paraId="116A53AD" w14:textId="77777777" w:rsidTr="005155C7">
        <w:trPr>
          <w:trHeight w:val="429"/>
          <w:jc w:val="center"/>
        </w:trPr>
        <w:tc>
          <w:tcPr>
            <w:tcW w:w="579" w:type="pct"/>
            <w:vMerge/>
            <w:shd w:val="clear" w:color="auto" w:fill="D9E2F3" w:themeFill="accent1" w:themeFillTint="33"/>
            <w:vAlign w:val="bottom"/>
          </w:tcPr>
          <w:p w14:paraId="52C9DF6D" w14:textId="77777777" w:rsidR="008C584A" w:rsidRPr="005155C7" w:rsidRDefault="008C584A" w:rsidP="008C584A">
            <w:pPr>
              <w:spacing w:after="0" w:line="240" w:lineRule="auto"/>
              <w:jc w:val="right"/>
              <w:rPr>
                <w:rFonts w:ascii="Times New Roman" w:eastAsia="Times New Roman" w:hAnsi="Times New Roman" w:cs="Times New Roman"/>
                <w:b/>
                <w:bCs/>
                <w:snapToGrid w:val="0"/>
                <w:color w:val="000000"/>
                <w:sz w:val="16"/>
                <w:szCs w:val="16"/>
                <w:lang w:eastAsia="pl-PL"/>
              </w:rPr>
            </w:pPr>
          </w:p>
        </w:tc>
        <w:tc>
          <w:tcPr>
            <w:tcW w:w="421" w:type="pct"/>
            <w:shd w:val="clear" w:color="auto" w:fill="D9E2F3" w:themeFill="accent1" w:themeFillTint="33"/>
            <w:vAlign w:val="bottom"/>
          </w:tcPr>
          <w:p w14:paraId="258D4060"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bieżące</w:t>
            </w:r>
          </w:p>
        </w:tc>
        <w:tc>
          <w:tcPr>
            <w:tcW w:w="457" w:type="pct"/>
            <w:shd w:val="clear" w:color="auto" w:fill="D9E2F3" w:themeFill="accent1" w:themeFillTint="33"/>
            <w:vAlign w:val="bottom"/>
          </w:tcPr>
          <w:p w14:paraId="36EB6C4E"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76" w:type="pct"/>
            <w:shd w:val="clear" w:color="auto" w:fill="D9E2F3" w:themeFill="accent1" w:themeFillTint="33"/>
            <w:vAlign w:val="bottom"/>
          </w:tcPr>
          <w:p w14:paraId="00A6C67B"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bieżące</w:t>
            </w:r>
          </w:p>
        </w:tc>
        <w:tc>
          <w:tcPr>
            <w:tcW w:w="422" w:type="pct"/>
            <w:shd w:val="clear" w:color="auto" w:fill="D9E2F3" w:themeFill="accent1" w:themeFillTint="33"/>
            <w:vAlign w:val="bottom"/>
          </w:tcPr>
          <w:p w14:paraId="1918FD81"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20" w:type="pct"/>
            <w:shd w:val="clear" w:color="auto" w:fill="D9E2F3" w:themeFill="accent1" w:themeFillTint="33"/>
            <w:vAlign w:val="bottom"/>
          </w:tcPr>
          <w:p w14:paraId="6EC206C4"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bieżące</w:t>
            </w:r>
          </w:p>
        </w:tc>
        <w:tc>
          <w:tcPr>
            <w:tcW w:w="456" w:type="pct"/>
            <w:shd w:val="clear" w:color="auto" w:fill="D9E2F3" w:themeFill="accent1" w:themeFillTint="33"/>
            <w:vAlign w:val="bottom"/>
          </w:tcPr>
          <w:p w14:paraId="248A8ECB"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bieżące</w:t>
            </w:r>
          </w:p>
        </w:tc>
        <w:tc>
          <w:tcPr>
            <w:tcW w:w="423" w:type="pct"/>
            <w:shd w:val="clear" w:color="auto" w:fill="D9E2F3" w:themeFill="accent1" w:themeFillTint="33"/>
            <w:vAlign w:val="bottom"/>
          </w:tcPr>
          <w:p w14:paraId="7294CE18"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bieżące</w:t>
            </w:r>
          </w:p>
        </w:tc>
        <w:tc>
          <w:tcPr>
            <w:tcW w:w="459" w:type="pct"/>
            <w:shd w:val="clear" w:color="auto" w:fill="D9E2F3" w:themeFill="accent1" w:themeFillTint="33"/>
            <w:vAlign w:val="bottom"/>
          </w:tcPr>
          <w:p w14:paraId="51B37271"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32" w:type="pct"/>
            <w:shd w:val="clear" w:color="auto" w:fill="D9E2F3" w:themeFill="accent1" w:themeFillTint="33"/>
            <w:vAlign w:val="bottom"/>
          </w:tcPr>
          <w:p w14:paraId="6C3A3F7A"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55" w:type="pct"/>
            <w:shd w:val="clear" w:color="auto" w:fill="D9E2F3" w:themeFill="accent1" w:themeFillTint="33"/>
            <w:vAlign w:val="bottom"/>
          </w:tcPr>
          <w:p w14:paraId="11A210C7"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r>
      <w:tr w:rsidR="008C584A" w:rsidRPr="008C584A" w14:paraId="1685EEEA" w14:textId="77777777" w:rsidTr="00547343">
        <w:trPr>
          <w:trHeight w:val="250"/>
          <w:jc w:val="center"/>
        </w:trPr>
        <w:tc>
          <w:tcPr>
            <w:tcW w:w="579" w:type="pct"/>
            <w:vAlign w:val="bottom"/>
          </w:tcPr>
          <w:p w14:paraId="3718BBDC"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Lokalne dochody własne</w:t>
            </w:r>
          </w:p>
        </w:tc>
        <w:tc>
          <w:tcPr>
            <w:tcW w:w="421" w:type="pct"/>
            <w:vAlign w:val="bottom"/>
          </w:tcPr>
          <w:p w14:paraId="4AEBC09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34 622 086</w:t>
            </w:r>
          </w:p>
        </w:tc>
        <w:tc>
          <w:tcPr>
            <w:tcW w:w="457" w:type="pct"/>
            <w:vAlign w:val="bottom"/>
          </w:tcPr>
          <w:p w14:paraId="51490AC5"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39 292 605</w:t>
            </w:r>
          </w:p>
        </w:tc>
        <w:tc>
          <w:tcPr>
            <w:tcW w:w="476" w:type="pct"/>
            <w:vAlign w:val="bottom"/>
          </w:tcPr>
          <w:p w14:paraId="7A2F093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39 893 938</w:t>
            </w:r>
          </w:p>
        </w:tc>
        <w:tc>
          <w:tcPr>
            <w:tcW w:w="422" w:type="pct"/>
            <w:vAlign w:val="bottom"/>
          </w:tcPr>
          <w:p w14:paraId="7980B700"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45 275 630</w:t>
            </w:r>
          </w:p>
        </w:tc>
        <w:tc>
          <w:tcPr>
            <w:tcW w:w="420" w:type="pct"/>
            <w:vAlign w:val="bottom"/>
          </w:tcPr>
          <w:p w14:paraId="59F9744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35 758 447</w:t>
            </w:r>
          </w:p>
        </w:tc>
        <w:tc>
          <w:tcPr>
            <w:tcW w:w="456" w:type="pct"/>
            <w:vAlign w:val="bottom"/>
          </w:tcPr>
          <w:p w14:paraId="51EFD78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40 950 573</w:t>
            </w:r>
          </w:p>
        </w:tc>
        <w:tc>
          <w:tcPr>
            <w:tcW w:w="423" w:type="pct"/>
            <w:vAlign w:val="bottom"/>
          </w:tcPr>
          <w:p w14:paraId="792C7EA1"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37 177 465</w:t>
            </w:r>
          </w:p>
        </w:tc>
        <w:tc>
          <w:tcPr>
            <w:tcW w:w="459" w:type="pct"/>
            <w:vAlign w:val="bottom"/>
          </w:tcPr>
          <w:p w14:paraId="3B02DAD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42 832 157</w:t>
            </w:r>
          </w:p>
        </w:tc>
        <w:tc>
          <w:tcPr>
            <w:tcW w:w="432" w:type="pct"/>
            <w:vAlign w:val="bottom"/>
          </w:tcPr>
          <w:p w14:paraId="7792BA7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38 648 160</w:t>
            </w:r>
          </w:p>
        </w:tc>
        <w:tc>
          <w:tcPr>
            <w:tcW w:w="455" w:type="pct"/>
            <w:vAlign w:val="bottom"/>
          </w:tcPr>
          <w:p w14:paraId="5308DFF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43 653 097</w:t>
            </w:r>
          </w:p>
        </w:tc>
      </w:tr>
      <w:tr w:rsidR="008C584A" w:rsidRPr="008C584A" w14:paraId="770F686C" w14:textId="77777777" w:rsidTr="00547343">
        <w:trPr>
          <w:trHeight w:val="250"/>
          <w:jc w:val="center"/>
        </w:trPr>
        <w:tc>
          <w:tcPr>
            <w:tcW w:w="579" w:type="pct"/>
            <w:vAlign w:val="bottom"/>
          </w:tcPr>
          <w:p w14:paraId="2B2B401B"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Udziały  w po-datkach PIT i CIT</w:t>
            </w:r>
          </w:p>
        </w:tc>
        <w:tc>
          <w:tcPr>
            <w:tcW w:w="421" w:type="pct"/>
            <w:vAlign w:val="bottom"/>
          </w:tcPr>
          <w:p w14:paraId="35470F05"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20 882 506</w:t>
            </w:r>
          </w:p>
        </w:tc>
        <w:tc>
          <w:tcPr>
            <w:tcW w:w="457" w:type="pct"/>
            <w:vAlign w:val="bottom"/>
          </w:tcPr>
          <w:p w14:paraId="02180A0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23 699 556</w:t>
            </w:r>
          </w:p>
        </w:tc>
        <w:tc>
          <w:tcPr>
            <w:tcW w:w="476" w:type="pct"/>
            <w:vAlign w:val="bottom"/>
          </w:tcPr>
          <w:p w14:paraId="6F45BF3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23 295 753</w:t>
            </w:r>
          </w:p>
        </w:tc>
        <w:tc>
          <w:tcPr>
            <w:tcW w:w="422" w:type="pct"/>
            <w:vAlign w:val="bottom"/>
          </w:tcPr>
          <w:p w14:paraId="61C60A9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26 438 351</w:t>
            </w:r>
          </w:p>
        </w:tc>
        <w:tc>
          <w:tcPr>
            <w:tcW w:w="420" w:type="pct"/>
            <w:vAlign w:val="bottom"/>
          </w:tcPr>
          <w:p w14:paraId="0591DAD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25 996 135</w:t>
            </w:r>
          </w:p>
        </w:tc>
        <w:tc>
          <w:tcPr>
            <w:tcW w:w="456" w:type="pct"/>
            <w:vAlign w:val="bottom"/>
          </w:tcPr>
          <w:p w14:paraId="4786221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29 770 774</w:t>
            </w:r>
          </w:p>
        </w:tc>
        <w:tc>
          <w:tcPr>
            <w:tcW w:w="423" w:type="pct"/>
            <w:vAlign w:val="bottom"/>
          </w:tcPr>
          <w:p w14:paraId="7FD74D2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28 083 101</w:t>
            </w:r>
          </w:p>
        </w:tc>
        <w:tc>
          <w:tcPr>
            <w:tcW w:w="459" w:type="pct"/>
            <w:vAlign w:val="bottom"/>
          </w:tcPr>
          <w:p w14:paraId="01B6FDB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32 354 540</w:t>
            </w:r>
          </w:p>
        </w:tc>
        <w:tc>
          <w:tcPr>
            <w:tcW w:w="432" w:type="pct"/>
            <w:vAlign w:val="bottom"/>
          </w:tcPr>
          <w:p w14:paraId="642F88AD"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33 447 825</w:t>
            </w:r>
          </w:p>
        </w:tc>
        <w:tc>
          <w:tcPr>
            <w:tcW w:w="455" w:type="pct"/>
            <w:vAlign w:val="bottom"/>
          </w:tcPr>
          <w:p w14:paraId="0E9B4E16"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37 779 318</w:t>
            </w:r>
          </w:p>
        </w:tc>
      </w:tr>
      <w:tr w:rsidR="008C584A" w:rsidRPr="008C584A" w14:paraId="1262D5F6" w14:textId="77777777" w:rsidTr="00547343">
        <w:trPr>
          <w:trHeight w:val="250"/>
          <w:jc w:val="center"/>
        </w:trPr>
        <w:tc>
          <w:tcPr>
            <w:tcW w:w="579" w:type="pct"/>
            <w:vAlign w:val="bottom"/>
          </w:tcPr>
          <w:p w14:paraId="2525ED8C"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 xml:space="preserve">Subwencja ogólna </w:t>
            </w:r>
          </w:p>
        </w:tc>
        <w:tc>
          <w:tcPr>
            <w:tcW w:w="421" w:type="pct"/>
            <w:vAlign w:val="bottom"/>
          </w:tcPr>
          <w:p w14:paraId="3B16E68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21 076 694</w:t>
            </w:r>
          </w:p>
        </w:tc>
        <w:tc>
          <w:tcPr>
            <w:tcW w:w="457" w:type="pct"/>
            <w:vAlign w:val="bottom"/>
          </w:tcPr>
          <w:p w14:paraId="7895CA1D"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23 919 940</w:t>
            </w:r>
          </w:p>
        </w:tc>
        <w:tc>
          <w:tcPr>
            <w:tcW w:w="476" w:type="pct"/>
            <w:vAlign w:val="bottom"/>
          </w:tcPr>
          <w:p w14:paraId="25779FE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21 646 751</w:t>
            </w:r>
          </w:p>
        </w:tc>
        <w:tc>
          <w:tcPr>
            <w:tcW w:w="422" w:type="pct"/>
            <w:vAlign w:val="bottom"/>
          </w:tcPr>
          <w:p w14:paraId="793EA4B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24 566 898</w:t>
            </w:r>
          </w:p>
        </w:tc>
        <w:tc>
          <w:tcPr>
            <w:tcW w:w="420" w:type="pct"/>
            <w:vAlign w:val="bottom"/>
          </w:tcPr>
          <w:p w14:paraId="73417F4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23 057 378</w:t>
            </w:r>
          </w:p>
        </w:tc>
        <w:tc>
          <w:tcPr>
            <w:tcW w:w="456" w:type="pct"/>
            <w:vAlign w:val="bottom"/>
          </w:tcPr>
          <w:p w14:paraId="32BCCA9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26 405 309</w:t>
            </w:r>
          </w:p>
        </w:tc>
        <w:tc>
          <w:tcPr>
            <w:tcW w:w="423" w:type="pct"/>
            <w:vAlign w:val="bottom"/>
          </w:tcPr>
          <w:p w14:paraId="0FB4F02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23 332 763</w:t>
            </w:r>
          </w:p>
        </w:tc>
        <w:tc>
          <w:tcPr>
            <w:tcW w:w="459" w:type="pct"/>
            <w:vAlign w:val="bottom"/>
          </w:tcPr>
          <w:p w14:paraId="2B6EC8B6"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26 881 676</w:t>
            </w:r>
          </w:p>
        </w:tc>
        <w:tc>
          <w:tcPr>
            <w:tcW w:w="432" w:type="pct"/>
            <w:vAlign w:val="bottom"/>
          </w:tcPr>
          <w:p w14:paraId="5416CA3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24 385 587</w:t>
            </w:r>
          </w:p>
        </w:tc>
        <w:tc>
          <w:tcPr>
            <w:tcW w:w="455" w:type="pct"/>
            <w:vAlign w:val="bottom"/>
          </w:tcPr>
          <w:p w14:paraId="09580FCD"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27 543 521</w:t>
            </w:r>
          </w:p>
        </w:tc>
      </w:tr>
      <w:tr w:rsidR="008C584A" w:rsidRPr="008C584A" w14:paraId="0990E57D" w14:textId="77777777" w:rsidTr="00547343">
        <w:trPr>
          <w:trHeight w:val="250"/>
          <w:jc w:val="center"/>
        </w:trPr>
        <w:tc>
          <w:tcPr>
            <w:tcW w:w="579" w:type="pct"/>
            <w:vAlign w:val="bottom"/>
          </w:tcPr>
          <w:p w14:paraId="74B6F177"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Dotacje</w:t>
            </w:r>
          </w:p>
        </w:tc>
        <w:tc>
          <w:tcPr>
            <w:tcW w:w="421" w:type="pct"/>
            <w:vAlign w:val="bottom"/>
          </w:tcPr>
          <w:p w14:paraId="295A5DC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9 098 268</w:t>
            </w:r>
          </w:p>
        </w:tc>
        <w:tc>
          <w:tcPr>
            <w:tcW w:w="457" w:type="pct"/>
            <w:vAlign w:val="bottom"/>
          </w:tcPr>
          <w:p w14:paraId="0ACCD61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10 325 624</w:t>
            </w:r>
          </w:p>
        </w:tc>
        <w:tc>
          <w:tcPr>
            <w:tcW w:w="476" w:type="pct"/>
            <w:vAlign w:val="bottom"/>
          </w:tcPr>
          <w:p w14:paraId="6F3E03A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10 494 011</w:t>
            </w:r>
          </w:p>
        </w:tc>
        <w:tc>
          <w:tcPr>
            <w:tcW w:w="422" w:type="pct"/>
            <w:vAlign w:val="bottom"/>
          </w:tcPr>
          <w:p w14:paraId="391FDD1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11 909 653</w:t>
            </w:r>
          </w:p>
        </w:tc>
        <w:tc>
          <w:tcPr>
            <w:tcW w:w="420" w:type="pct"/>
            <w:vAlign w:val="bottom"/>
          </w:tcPr>
          <w:p w14:paraId="16717BB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24 039 377</w:t>
            </w:r>
          </w:p>
        </w:tc>
        <w:tc>
          <w:tcPr>
            <w:tcW w:w="456" w:type="pct"/>
            <w:vAlign w:val="bottom"/>
          </w:tcPr>
          <w:p w14:paraId="1AA41CC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27 529 895</w:t>
            </w:r>
          </w:p>
        </w:tc>
        <w:tc>
          <w:tcPr>
            <w:tcW w:w="423" w:type="pct"/>
            <w:vAlign w:val="bottom"/>
          </w:tcPr>
          <w:p w14:paraId="24F1F84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29 606 060</w:t>
            </w:r>
          </w:p>
        </w:tc>
        <w:tc>
          <w:tcPr>
            <w:tcW w:w="459" w:type="pct"/>
            <w:vAlign w:val="bottom"/>
          </w:tcPr>
          <w:p w14:paraId="71CFB0A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34 109 142</w:t>
            </w:r>
          </w:p>
        </w:tc>
        <w:tc>
          <w:tcPr>
            <w:tcW w:w="432" w:type="pct"/>
            <w:vAlign w:val="bottom"/>
          </w:tcPr>
          <w:p w14:paraId="47B8310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30 842 831</w:t>
            </w:r>
          </w:p>
        </w:tc>
        <w:tc>
          <w:tcPr>
            <w:tcW w:w="455" w:type="pct"/>
            <w:vAlign w:val="bottom"/>
          </w:tcPr>
          <w:p w14:paraId="003EF02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34 836 978</w:t>
            </w:r>
          </w:p>
        </w:tc>
      </w:tr>
      <w:tr w:rsidR="008C584A" w:rsidRPr="008C584A" w14:paraId="302486E9" w14:textId="77777777" w:rsidTr="00547343">
        <w:trPr>
          <w:trHeight w:val="250"/>
          <w:jc w:val="center"/>
        </w:trPr>
        <w:tc>
          <w:tcPr>
            <w:tcW w:w="579" w:type="pct"/>
            <w:vAlign w:val="bottom"/>
          </w:tcPr>
          <w:p w14:paraId="16C0988C"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Dotacje UE</w:t>
            </w:r>
          </w:p>
        </w:tc>
        <w:tc>
          <w:tcPr>
            <w:tcW w:w="421" w:type="pct"/>
            <w:vAlign w:val="bottom"/>
          </w:tcPr>
          <w:p w14:paraId="75A8F42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2 630 529</w:t>
            </w:r>
          </w:p>
        </w:tc>
        <w:tc>
          <w:tcPr>
            <w:tcW w:w="457" w:type="pct"/>
            <w:vAlign w:val="bottom"/>
          </w:tcPr>
          <w:p w14:paraId="6DACAF03"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2 985 388</w:t>
            </w:r>
          </w:p>
        </w:tc>
        <w:tc>
          <w:tcPr>
            <w:tcW w:w="476" w:type="pct"/>
            <w:vAlign w:val="bottom"/>
          </w:tcPr>
          <w:p w14:paraId="14C2F8F5"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3 475 230</w:t>
            </w:r>
          </w:p>
        </w:tc>
        <w:tc>
          <w:tcPr>
            <w:tcW w:w="422" w:type="pct"/>
            <w:vAlign w:val="bottom"/>
          </w:tcPr>
          <w:p w14:paraId="16D5940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3 944 039</w:t>
            </w:r>
          </w:p>
        </w:tc>
        <w:tc>
          <w:tcPr>
            <w:tcW w:w="420" w:type="pct"/>
            <w:vAlign w:val="bottom"/>
          </w:tcPr>
          <w:p w14:paraId="1A9C1C1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420 120</w:t>
            </w:r>
          </w:p>
        </w:tc>
        <w:tc>
          <w:tcPr>
            <w:tcW w:w="456" w:type="pct"/>
            <w:vAlign w:val="bottom"/>
          </w:tcPr>
          <w:p w14:paraId="71EE98D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481 121</w:t>
            </w:r>
          </w:p>
        </w:tc>
        <w:tc>
          <w:tcPr>
            <w:tcW w:w="423" w:type="pct"/>
            <w:vAlign w:val="bottom"/>
          </w:tcPr>
          <w:p w14:paraId="696B2F73"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931 895</w:t>
            </w:r>
          </w:p>
        </w:tc>
        <w:tc>
          <w:tcPr>
            <w:tcW w:w="459" w:type="pct"/>
            <w:vAlign w:val="bottom"/>
          </w:tcPr>
          <w:p w14:paraId="50082E9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1 073 636</w:t>
            </w:r>
          </w:p>
        </w:tc>
        <w:tc>
          <w:tcPr>
            <w:tcW w:w="432" w:type="pct"/>
            <w:vAlign w:val="bottom"/>
          </w:tcPr>
          <w:p w14:paraId="64F0FCB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2 899 001</w:t>
            </w:r>
          </w:p>
        </w:tc>
        <w:tc>
          <w:tcPr>
            <w:tcW w:w="455" w:type="pct"/>
            <w:vAlign w:val="bottom"/>
          </w:tcPr>
          <w:p w14:paraId="0C1C2E2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3 274 422</w:t>
            </w:r>
          </w:p>
        </w:tc>
      </w:tr>
      <w:tr w:rsidR="008C584A" w:rsidRPr="008C584A" w14:paraId="62AE9D42" w14:textId="77777777" w:rsidTr="00547343">
        <w:trPr>
          <w:trHeight w:val="250"/>
          <w:jc w:val="center"/>
        </w:trPr>
        <w:tc>
          <w:tcPr>
            <w:tcW w:w="579" w:type="pct"/>
            <w:vAlign w:val="bottom"/>
          </w:tcPr>
          <w:p w14:paraId="04585737"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RAZEM DOCHODY</w:t>
            </w:r>
          </w:p>
        </w:tc>
        <w:tc>
          <w:tcPr>
            <w:tcW w:w="421" w:type="pct"/>
            <w:vAlign w:val="bottom"/>
          </w:tcPr>
          <w:p w14:paraId="4C167FC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88 310 083</w:t>
            </w:r>
          </w:p>
        </w:tc>
        <w:tc>
          <w:tcPr>
            <w:tcW w:w="457" w:type="pct"/>
            <w:vAlign w:val="bottom"/>
          </w:tcPr>
          <w:p w14:paraId="16316C0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100 223 113</w:t>
            </w:r>
          </w:p>
        </w:tc>
        <w:tc>
          <w:tcPr>
            <w:tcW w:w="476" w:type="pct"/>
            <w:vAlign w:val="bottom"/>
          </w:tcPr>
          <w:p w14:paraId="010A4E3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98 805 684</w:t>
            </w:r>
          </w:p>
        </w:tc>
        <w:tc>
          <w:tcPr>
            <w:tcW w:w="422" w:type="pct"/>
            <w:vAlign w:val="bottom"/>
          </w:tcPr>
          <w:p w14:paraId="03676F9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112 134 570</w:t>
            </w:r>
          </w:p>
        </w:tc>
        <w:tc>
          <w:tcPr>
            <w:tcW w:w="420" w:type="pct"/>
            <w:vAlign w:val="bottom"/>
          </w:tcPr>
          <w:p w14:paraId="3231DFD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109 271 457</w:t>
            </w:r>
          </w:p>
        </w:tc>
        <w:tc>
          <w:tcPr>
            <w:tcW w:w="456" w:type="pct"/>
            <w:vAlign w:val="bottom"/>
          </w:tcPr>
          <w:p w14:paraId="3E65C9A1"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125 137 672</w:t>
            </w:r>
          </w:p>
        </w:tc>
        <w:tc>
          <w:tcPr>
            <w:tcW w:w="423" w:type="pct"/>
            <w:vAlign w:val="bottom"/>
          </w:tcPr>
          <w:p w14:paraId="61F503B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119 131 283</w:t>
            </w:r>
          </w:p>
        </w:tc>
        <w:tc>
          <w:tcPr>
            <w:tcW w:w="459" w:type="pct"/>
            <w:vAlign w:val="bottom"/>
          </w:tcPr>
          <w:p w14:paraId="0F9C3396"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137 251 151</w:t>
            </w:r>
          </w:p>
        </w:tc>
        <w:tc>
          <w:tcPr>
            <w:tcW w:w="432" w:type="pct"/>
            <w:vAlign w:val="bottom"/>
          </w:tcPr>
          <w:p w14:paraId="7673CC7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130 223 405</w:t>
            </w:r>
          </w:p>
        </w:tc>
        <w:tc>
          <w:tcPr>
            <w:tcW w:w="455" w:type="pct"/>
            <w:vAlign w:val="bottom"/>
          </w:tcPr>
          <w:p w14:paraId="5378F72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147 087 336</w:t>
            </w:r>
          </w:p>
        </w:tc>
      </w:tr>
      <w:tr w:rsidR="008C584A" w:rsidRPr="008C584A" w14:paraId="4C84337B" w14:textId="77777777" w:rsidTr="005155C7">
        <w:trPr>
          <w:trHeight w:val="250"/>
          <w:jc w:val="center"/>
        </w:trPr>
        <w:tc>
          <w:tcPr>
            <w:tcW w:w="579" w:type="pct"/>
            <w:vMerge w:val="restart"/>
            <w:shd w:val="clear" w:color="auto" w:fill="D9E2F3" w:themeFill="accent1" w:themeFillTint="33"/>
            <w:vAlign w:val="bottom"/>
          </w:tcPr>
          <w:p w14:paraId="5FD3E41C" w14:textId="77777777" w:rsidR="008C584A" w:rsidRPr="005155C7" w:rsidRDefault="008C584A" w:rsidP="008C584A">
            <w:pPr>
              <w:spacing w:after="0" w:line="240" w:lineRule="auto"/>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Wyszczególnie-nie</w:t>
            </w:r>
          </w:p>
        </w:tc>
        <w:tc>
          <w:tcPr>
            <w:tcW w:w="878" w:type="pct"/>
            <w:gridSpan w:val="2"/>
            <w:shd w:val="clear" w:color="auto" w:fill="D9E2F3" w:themeFill="accent1" w:themeFillTint="33"/>
            <w:vAlign w:val="bottom"/>
          </w:tcPr>
          <w:p w14:paraId="5EE2FF08"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2  0  1  9</w:t>
            </w:r>
          </w:p>
        </w:tc>
        <w:tc>
          <w:tcPr>
            <w:tcW w:w="898" w:type="pct"/>
            <w:gridSpan w:val="2"/>
            <w:shd w:val="clear" w:color="auto" w:fill="D9E2F3" w:themeFill="accent1" w:themeFillTint="33"/>
            <w:vAlign w:val="bottom"/>
          </w:tcPr>
          <w:p w14:paraId="455EAF39"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2  0  2  0</w:t>
            </w:r>
          </w:p>
        </w:tc>
        <w:tc>
          <w:tcPr>
            <w:tcW w:w="876" w:type="pct"/>
            <w:gridSpan w:val="2"/>
            <w:shd w:val="clear" w:color="auto" w:fill="D9E2F3" w:themeFill="accent1" w:themeFillTint="33"/>
            <w:vAlign w:val="bottom"/>
          </w:tcPr>
          <w:p w14:paraId="5C74E4F6"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2  0  2  1</w:t>
            </w:r>
          </w:p>
        </w:tc>
        <w:tc>
          <w:tcPr>
            <w:tcW w:w="423" w:type="pct"/>
            <w:shd w:val="clear" w:color="auto" w:fill="D9E2F3" w:themeFill="accent1" w:themeFillTint="33"/>
            <w:vAlign w:val="bottom"/>
          </w:tcPr>
          <w:p w14:paraId="0B80A79C"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2  0  2  2</w:t>
            </w:r>
          </w:p>
        </w:tc>
        <w:tc>
          <w:tcPr>
            <w:tcW w:w="459" w:type="pct"/>
            <w:vMerge w:val="restart"/>
            <w:shd w:val="clear" w:color="auto" w:fill="D9E2F3" w:themeFill="accent1" w:themeFillTint="33"/>
            <w:vAlign w:val="bottom"/>
          </w:tcPr>
          <w:p w14:paraId="61AAB0E9"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 xml:space="preserve">Dynamika </w:t>
            </w:r>
          </w:p>
          <w:p w14:paraId="6C51BF0C"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2016/2012</w:t>
            </w:r>
          </w:p>
          <w:p w14:paraId="171B187D"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2012=100</w:t>
            </w:r>
          </w:p>
          <w:p w14:paraId="058720E5"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32" w:type="pct"/>
            <w:vMerge w:val="restart"/>
            <w:shd w:val="clear" w:color="auto" w:fill="D9E2F3" w:themeFill="accent1" w:themeFillTint="33"/>
            <w:vAlign w:val="bottom"/>
          </w:tcPr>
          <w:p w14:paraId="2C05AE7C"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Dynamika zmian</w:t>
            </w:r>
          </w:p>
          <w:p w14:paraId="710394D9"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2020/2016</w:t>
            </w:r>
          </w:p>
          <w:p w14:paraId="317245D0"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2016=100</w:t>
            </w:r>
          </w:p>
          <w:p w14:paraId="07ED1582" w14:textId="77777777" w:rsidR="008C584A" w:rsidRPr="005155C7" w:rsidRDefault="008C584A" w:rsidP="008C584A">
            <w:pPr>
              <w:spacing w:after="0" w:line="240" w:lineRule="auto"/>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c>
          <w:tcPr>
            <w:tcW w:w="455" w:type="pct"/>
            <w:vMerge w:val="restart"/>
            <w:shd w:val="clear" w:color="auto" w:fill="D9E2F3" w:themeFill="accent1" w:themeFillTint="33"/>
            <w:vAlign w:val="bottom"/>
          </w:tcPr>
          <w:p w14:paraId="2D5EC0A5"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Dynamika zmian</w:t>
            </w:r>
          </w:p>
          <w:p w14:paraId="2711380F"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2022/2014</w:t>
            </w:r>
          </w:p>
          <w:p w14:paraId="5AA0612D"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2012=100</w:t>
            </w:r>
          </w:p>
          <w:p w14:paraId="55BCF15C" w14:textId="77777777" w:rsidR="008C584A" w:rsidRPr="005155C7" w:rsidRDefault="008C584A" w:rsidP="008C584A">
            <w:pPr>
              <w:spacing w:after="0" w:line="240" w:lineRule="auto"/>
              <w:jc w:val="center"/>
              <w:rPr>
                <w:rFonts w:ascii="Times New Roman" w:eastAsia="Times New Roman" w:hAnsi="Times New Roman" w:cs="Times New Roman"/>
                <w:b/>
                <w:bCs/>
                <w:snapToGrid w:val="0"/>
                <w:color w:val="000000"/>
                <w:sz w:val="16"/>
                <w:szCs w:val="16"/>
                <w:lang w:eastAsia="pl-PL"/>
              </w:rPr>
            </w:pPr>
            <w:r w:rsidRPr="005155C7">
              <w:rPr>
                <w:rFonts w:ascii="Times New Roman" w:eastAsia="Times New Roman" w:hAnsi="Times New Roman" w:cs="Times New Roman"/>
                <w:b/>
                <w:bCs/>
                <w:snapToGrid w:val="0"/>
                <w:color w:val="000000"/>
                <w:sz w:val="16"/>
                <w:szCs w:val="16"/>
                <w:lang w:eastAsia="pl-PL"/>
              </w:rPr>
              <w:t>ceny stałe</w:t>
            </w:r>
          </w:p>
        </w:tc>
      </w:tr>
      <w:tr w:rsidR="008C584A" w:rsidRPr="008C584A" w14:paraId="333D9C4D" w14:textId="77777777" w:rsidTr="005155C7">
        <w:trPr>
          <w:trHeight w:val="585"/>
          <w:jc w:val="center"/>
        </w:trPr>
        <w:tc>
          <w:tcPr>
            <w:tcW w:w="579" w:type="pct"/>
            <w:vMerge/>
            <w:shd w:val="clear" w:color="auto" w:fill="E6E6E6"/>
            <w:vAlign w:val="bottom"/>
          </w:tcPr>
          <w:p w14:paraId="06B7E674" w14:textId="77777777" w:rsidR="008C584A" w:rsidRPr="008C584A" w:rsidRDefault="008C584A" w:rsidP="008C584A">
            <w:pPr>
              <w:spacing w:after="0" w:line="240" w:lineRule="auto"/>
              <w:jc w:val="right"/>
              <w:rPr>
                <w:rFonts w:ascii="Times New Roman" w:eastAsia="Times New Roman" w:hAnsi="Times New Roman" w:cs="Times New Roman"/>
                <w:snapToGrid w:val="0"/>
                <w:color w:val="000000"/>
                <w:sz w:val="16"/>
                <w:szCs w:val="16"/>
                <w:lang w:eastAsia="pl-PL"/>
              </w:rPr>
            </w:pPr>
          </w:p>
        </w:tc>
        <w:tc>
          <w:tcPr>
            <w:tcW w:w="421" w:type="pct"/>
            <w:shd w:val="clear" w:color="auto" w:fill="D9E2F3" w:themeFill="accent1" w:themeFillTint="33"/>
            <w:vAlign w:val="bottom"/>
          </w:tcPr>
          <w:p w14:paraId="5810B1C7"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bieżące</w:t>
            </w:r>
          </w:p>
        </w:tc>
        <w:tc>
          <w:tcPr>
            <w:tcW w:w="457" w:type="pct"/>
            <w:shd w:val="clear" w:color="auto" w:fill="D9E2F3" w:themeFill="accent1" w:themeFillTint="33"/>
            <w:vAlign w:val="bottom"/>
          </w:tcPr>
          <w:p w14:paraId="1380FDA1"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stałe</w:t>
            </w:r>
          </w:p>
        </w:tc>
        <w:tc>
          <w:tcPr>
            <w:tcW w:w="476" w:type="pct"/>
            <w:shd w:val="clear" w:color="auto" w:fill="D9E2F3" w:themeFill="accent1" w:themeFillTint="33"/>
            <w:vAlign w:val="bottom"/>
          </w:tcPr>
          <w:p w14:paraId="568ED743"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bieżące</w:t>
            </w:r>
          </w:p>
        </w:tc>
        <w:tc>
          <w:tcPr>
            <w:tcW w:w="422" w:type="pct"/>
            <w:shd w:val="clear" w:color="auto" w:fill="D9E2F3" w:themeFill="accent1" w:themeFillTint="33"/>
            <w:vAlign w:val="bottom"/>
          </w:tcPr>
          <w:p w14:paraId="40E51402"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stałe</w:t>
            </w:r>
          </w:p>
        </w:tc>
        <w:tc>
          <w:tcPr>
            <w:tcW w:w="420" w:type="pct"/>
            <w:shd w:val="clear" w:color="auto" w:fill="D9E2F3" w:themeFill="accent1" w:themeFillTint="33"/>
            <w:vAlign w:val="bottom"/>
          </w:tcPr>
          <w:p w14:paraId="2F3D756E"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bieżące</w:t>
            </w:r>
          </w:p>
        </w:tc>
        <w:tc>
          <w:tcPr>
            <w:tcW w:w="456" w:type="pct"/>
            <w:shd w:val="clear" w:color="auto" w:fill="D9E2F3" w:themeFill="accent1" w:themeFillTint="33"/>
            <w:vAlign w:val="bottom"/>
          </w:tcPr>
          <w:p w14:paraId="63CEDB98"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 stałe</w:t>
            </w:r>
          </w:p>
        </w:tc>
        <w:tc>
          <w:tcPr>
            <w:tcW w:w="423" w:type="pct"/>
            <w:shd w:val="clear" w:color="auto" w:fill="D9E2F3" w:themeFill="accent1" w:themeFillTint="33"/>
            <w:vAlign w:val="bottom"/>
          </w:tcPr>
          <w:p w14:paraId="11CB3FDF"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Ceny</w:t>
            </w:r>
          </w:p>
          <w:p w14:paraId="3D5E05D5"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bieżące i  stałe</w:t>
            </w:r>
          </w:p>
        </w:tc>
        <w:tc>
          <w:tcPr>
            <w:tcW w:w="459" w:type="pct"/>
            <w:vMerge/>
            <w:shd w:val="clear" w:color="auto" w:fill="E6E6E6"/>
            <w:vAlign w:val="bottom"/>
          </w:tcPr>
          <w:p w14:paraId="5B12A294"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p>
        </w:tc>
        <w:tc>
          <w:tcPr>
            <w:tcW w:w="432" w:type="pct"/>
            <w:vMerge/>
            <w:shd w:val="clear" w:color="auto" w:fill="E6E6E6"/>
            <w:vAlign w:val="bottom"/>
          </w:tcPr>
          <w:p w14:paraId="74F3FEAD"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p>
        </w:tc>
        <w:tc>
          <w:tcPr>
            <w:tcW w:w="455" w:type="pct"/>
            <w:vMerge/>
            <w:shd w:val="clear" w:color="auto" w:fill="E6E6E6"/>
            <w:vAlign w:val="bottom"/>
          </w:tcPr>
          <w:p w14:paraId="4F7E16CD"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6"/>
                <w:szCs w:val="16"/>
                <w:lang w:eastAsia="pl-PL"/>
              </w:rPr>
            </w:pPr>
          </w:p>
        </w:tc>
      </w:tr>
      <w:tr w:rsidR="008C584A" w:rsidRPr="008C584A" w14:paraId="615E272F" w14:textId="77777777" w:rsidTr="00547343">
        <w:trPr>
          <w:trHeight w:val="250"/>
          <w:jc w:val="center"/>
        </w:trPr>
        <w:tc>
          <w:tcPr>
            <w:tcW w:w="579" w:type="pct"/>
            <w:vAlign w:val="bottom"/>
          </w:tcPr>
          <w:p w14:paraId="5DA20A0A"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Dochody własne</w:t>
            </w:r>
          </w:p>
        </w:tc>
        <w:tc>
          <w:tcPr>
            <w:tcW w:w="421" w:type="pct"/>
            <w:vAlign w:val="bottom"/>
          </w:tcPr>
          <w:p w14:paraId="2C681A3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46 782 678</w:t>
            </w:r>
          </w:p>
        </w:tc>
        <w:tc>
          <w:tcPr>
            <w:tcW w:w="457" w:type="pct"/>
            <w:vAlign w:val="bottom"/>
          </w:tcPr>
          <w:p w14:paraId="30C1AD9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52 008 303</w:t>
            </w:r>
          </w:p>
        </w:tc>
        <w:tc>
          <w:tcPr>
            <w:tcW w:w="476" w:type="pct"/>
            <w:vAlign w:val="bottom"/>
          </w:tcPr>
          <w:p w14:paraId="112DEB0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54 668 449</w:t>
            </w:r>
          </w:p>
        </w:tc>
        <w:tc>
          <w:tcPr>
            <w:tcW w:w="422" w:type="pct"/>
            <w:vAlign w:val="bottom"/>
          </w:tcPr>
          <w:p w14:paraId="299F201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59 408 204</w:t>
            </w:r>
          </w:p>
        </w:tc>
        <w:tc>
          <w:tcPr>
            <w:tcW w:w="420" w:type="pct"/>
            <w:vAlign w:val="bottom"/>
          </w:tcPr>
          <w:p w14:paraId="589F38C5"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52 136 309</w:t>
            </w:r>
          </w:p>
        </w:tc>
        <w:tc>
          <w:tcPr>
            <w:tcW w:w="456" w:type="pct"/>
            <w:vAlign w:val="bottom"/>
          </w:tcPr>
          <w:p w14:paraId="6F51C7A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54 795 261</w:t>
            </w:r>
          </w:p>
        </w:tc>
        <w:tc>
          <w:tcPr>
            <w:tcW w:w="423" w:type="pct"/>
            <w:vAlign w:val="bottom"/>
          </w:tcPr>
          <w:p w14:paraId="2F65A66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60 656 726</w:t>
            </w:r>
          </w:p>
        </w:tc>
        <w:tc>
          <w:tcPr>
            <w:tcW w:w="459" w:type="pct"/>
            <w:vAlign w:val="bottom"/>
          </w:tcPr>
          <w:p w14:paraId="69AD17E0"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111,10</w:t>
            </w:r>
          </w:p>
        </w:tc>
        <w:tc>
          <w:tcPr>
            <w:tcW w:w="432" w:type="pct"/>
            <w:vAlign w:val="bottom"/>
          </w:tcPr>
          <w:p w14:paraId="3079EC8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138,95</w:t>
            </w:r>
          </w:p>
        </w:tc>
        <w:tc>
          <w:tcPr>
            <w:tcW w:w="455" w:type="pct"/>
            <w:vAlign w:val="bottom"/>
          </w:tcPr>
          <w:p w14:paraId="5072DB91"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154,37</w:t>
            </w:r>
          </w:p>
        </w:tc>
      </w:tr>
      <w:tr w:rsidR="008C584A" w:rsidRPr="008C584A" w14:paraId="59B72C99" w14:textId="77777777" w:rsidTr="00547343">
        <w:trPr>
          <w:trHeight w:val="250"/>
          <w:jc w:val="center"/>
        </w:trPr>
        <w:tc>
          <w:tcPr>
            <w:tcW w:w="579" w:type="pct"/>
            <w:vAlign w:val="bottom"/>
          </w:tcPr>
          <w:p w14:paraId="74122A49"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Udziały  w podatkach PIT i CIT</w:t>
            </w:r>
          </w:p>
        </w:tc>
        <w:tc>
          <w:tcPr>
            <w:tcW w:w="421" w:type="pct"/>
            <w:vAlign w:val="bottom"/>
          </w:tcPr>
          <w:p w14:paraId="77ED282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37 174 364</w:t>
            </w:r>
          </w:p>
        </w:tc>
        <w:tc>
          <w:tcPr>
            <w:tcW w:w="457" w:type="pct"/>
            <w:vAlign w:val="bottom"/>
          </w:tcPr>
          <w:p w14:paraId="602A6743"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41 326 740</w:t>
            </w:r>
          </w:p>
        </w:tc>
        <w:tc>
          <w:tcPr>
            <w:tcW w:w="476" w:type="pct"/>
            <w:vAlign w:val="bottom"/>
          </w:tcPr>
          <w:p w14:paraId="55C8625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36 963 239</w:t>
            </w:r>
          </w:p>
        </w:tc>
        <w:tc>
          <w:tcPr>
            <w:tcW w:w="422" w:type="pct"/>
            <w:vAlign w:val="bottom"/>
          </w:tcPr>
          <w:p w14:paraId="0372484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40 167 952</w:t>
            </w:r>
          </w:p>
        </w:tc>
        <w:tc>
          <w:tcPr>
            <w:tcW w:w="420" w:type="pct"/>
            <w:vAlign w:val="bottom"/>
          </w:tcPr>
          <w:p w14:paraId="524B9200"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43 572 058</w:t>
            </w:r>
          </w:p>
        </w:tc>
        <w:tc>
          <w:tcPr>
            <w:tcW w:w="456" w:type="pct"/>
            <w:vAlign w:val="bottom"/>
          </w:tcPr>
          <w:p w14:paraId="382CEB6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45 794 233</w:t>
            </w:r>
          </w:p>
        </w:tc>
        <w:tc>
          <w:tcPr>
            <w:tcW w:w="423" w:type="pct"/>
            <w:vAlign w:val="bottom"/>
          </w:tcPr>
          <w:p w14:paraId="2E4FD3B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43 352 433</w:t>
            </w:r>
          </w:p>
        </w:tc>
        <w:tc>
          <w:tcPr>
            <w:tcW w:w="459" w:type="pct"/>
            <w:vAlign w:val="bottom"/>
          </w:tcPr>
          <w:p w14:paraId="4779F2A4"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159,41</w:t>
            </w:r>
          </w:p>
        </w:tc>
        <w:tc>
          <w:tcPr>
            <w:tcW w:w="432" w:type="pct"/>
            <w:vAlign w:val="bottom"/>
          </w:tcPr>
          <w:p w14:paraId="2C5E4B4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114,75</w:t>
            </w:r>
          </w:p>
        </w:tc>
        <w:tc>
          <w:tcPr>
            <w:tcW w:w="455" w:type="pct"/>
            <w:vAlign w:val="bottom"/>
          </w:tcPr>
          <w:p w14:paraId="387ACA7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182,93</w:t>
            </w:r>
          </w:p>
        </w:tc>
      </w:tr>
      <w:tr w:rsidR="008C584A" w:rsidRPr="008C584A" w14:paraId="596283A9" w14:textId="77777777" w:rsidTr="00547343">
        <w:trPr>
          <w:trHeight w:val="250"/>
          <w:jc w:val="center"/>
        </w:trPr>
        <w:tc>
          <w:tcPr>
            <w:tcW w:w="579" w:type="pct"/>
            <w:vAlign w:val="bottom"/>
          </w:tcPr>
          <w:p w14:paraId="6336C7D7"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 xml:space="preserve">Subwencja ogólna </w:t>
            </w:r>
          </w:p>
        </w:tc>
        <w:tc>
          <w:tcPr>
            <w:tcW w:w="421" w:type="pct"/>
            <w:vAlign w:val="bottom"/>
          </w:tcPr>
          <w:p w14:paraId="479D704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26 079 098</w:t>
            </w:r>
          </w:p>
        </w:tc>
        <w:tc>
          <w:tcPr>
            <w:tcW w:w="457" w:type="pct"/>
            <w:vAlign w:val="bottom"/>
          </w:tcPr>
          <w:p w14:paraId="7DE9203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28 992 133</w:t>
            </w:r>
          </w:p>
        </w:tc>
        <w:tc>
          <w:tcPr>
            <w:tcW w:w="476" w:type="pct"/>
            <w:vAlign w:val="bottom"/>
          </w:tcPr>
          <w:p w14:paraId="7385E8A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26 299 569</w:t>
            </w:r>
          </w:p>
        </w:tc>
        <w:tc>
          <w:tcPr>
            <w:tcW w:w="422" w:type="pct"/>
            <w:vAlign w:val="bottom"/>
          </w:tcPr>
          <w:p w14:paraId="733BF0B6"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28 579 742</w:t>
            </w:r>
          </w:p>
        </w:tc>
        <w:tc>
          <w:tcPr>
            <w:tcW w:w="420" w:type="pct"/>
            <w:vAlign w:val="bottom"/>
          </w:tcPr>
          <w:p w14:paraId="5D8E7B6A"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33 880 770</w:t>
            </w:r>
          </w:p>
        </w:tc>
        <w:tc>
          <w:tcPr>
            <w:tcW w:w="456" w:type="pct"/>
            <w:vAlign w:val="bottom"/>
          </w:tcPr>
          <w:p w14:paraId="3E2170B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35 608 689</w:t>
            </w:r>
          </w:p>
        </w:tc>
        <w:tc>
          <w:tcPr>
            <w:tcW w:w="423" w:type="pct"/>
            <w:vAlign w:val="bottom"/>
          </w:tcPr>
          <w:p w14:paraId="23EEFDB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30 467 880</w:t>
            </w:r>
          </w:p>
        </w:tc>
        <w:tc>
          <w:tcPr>
            <w:tcW w:w="459" w:type="pct"/>
            <w:vAlign w:val="bottom"/>
          </w:tcPr>
          <w:p w14:paraId="228752E2"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115,15</w:t>
            </w:r>
          </w:p>
        </w:tc>
        <w:tc>
          <w:tcPr>
            <w:tcW w:w="432" w:type="pct"/>
            <w:vAlign w:val="bottom"/>
          </w:tcPr>
          <w:p w14:paraId="3C836AF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110,62</w:t>
            </w:r>
          </w:p>
        </w:tc>
        <w:tc>
          <w:tcPr>
            <w:tcW w:w="455" w:type="pct"/>
            <w:vAlign w:val="bottom"/>
          </w:tcPr>
          <w:p w14:paraId="18AA53E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127,37</w:t>
            </w:r>
          </w:p>
        </w:tc>
      </w:tr>
      <w:tr w:rsidR="008C584A" w:rsidRPr="008C584A" w14:paraId="07EB1831" w14:textId="77777777" w:rsidTr="00547343">
        <w:trPr>
          <w:trHeight w:val="250"/>
          <w:jc w:val="center"/>
        </w:trPr>
        <w:tc>
          <w:tcPr>
            <w:tcW w:w="579" w:type="pct"/>
            <w:vAlign w:val="bottom"/>
          </w:tcPr>
          <w:p w14:paraId="3361DF0F"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Dotacje</w:t>
            </w:r>
          </w:p>
        </w:tc>
        <w:tc>
          <w:tcPr>
            <w:tcW w:w="421" w:type="pct"/>
            <w:vAlign w:val="bottom"/>
          </w:tcPr>
          <w:p w14:paraId="4CB7152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39 397 657</w:t>
            </w:r>
          </w:p>
        </w:tc>
        <w:tc>
          <w:tcPr>
            <w:tcW w:w="457" w:type="pct"/>
            <w:vAlign w:val="bottom"/>
          </w:tcPr>
          <w:p w14:paraId="26B400D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43 798 376</w:t>
            </w:r>
          </w:p>
        </w:tc>
        <w:tc>
          <w:tcPr>
            <w:tcW w:w="476" w:type="pct"/>
            <w:vAlign w:val="bottom"/>
          </w:tcPr>
          <w:p w14:paraId="6291195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48 438 850</w:t>
            </w:r>
          </w:p>
        </w:tc>
        <w:tc>
          <w:tcPr>
            <w:tcW w:w="422" w:type="pct"/>
            <w:vAlign w:val="bottom"/>
          </w:tcPr>
          <w:p w14:paraId="7386D5C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52 638 498</w:t>
            </w:r>
          </w:p>
        </w:tc>
        <w:tc>
          <w:tcPr>
            <w:tcW w:w="420" w:type="pct"/>
            <w:vAlign w:val="bottom"/>
          </w:tcPr>
          <w:p w14:paraId="16C4410F"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49 391 116</w:t>
            </w:r>
          </w:p>
        </w:tc>
        <w:tc>
          <w:tcPr>
            <w:tcW w:w="456" w:type="pct"/>
            <w:vAlign w:val="bottom"/>
          </w:tcPr>
          <w:p w14:paraId="0200A968"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51 910 063</w:t>
            </w:r>
          </w:p>
        </w:tc>
        <w:tc>
          <w:tcPr>
            <w:tcW w:w="423" w:type="pct"/>
            <w:vAlign w:val="bottom"/>
          </w:tcPr>
          <w:p w14:paraId="6E6F9CCC"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47 595 231</w:t>
            </w:r>
          </w:p>
        </w:tc>
        <w:tc>
          <w:tcPr>
            <w:tcW w:w="459" w:type="pct"/>
            <w:vAlign w:val="bottom"/>
          </w:tcPr>
          <w:p w14:paraId="4ADF29C9"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337,38</w:t>
            </w:r>
          </w:p>
        </w:tc>
        <w:tc>
          <w:tcPr>
            <w:tcW w:w="432" w:type="pct"/>
            <w:vAlign w:val="bottom"/>
          </w:tcPr>
          <w:p w14:paraId="6E52CF2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136,62</w:t>
            </w:r>
          </w:p>
        </w:tc>
        <w:tc>
          <w:tcPr>
            <w:tcW w:w="455" w:type="pct"/>
            <w:vAlign w:val="bottom"/>
          </w:tcPr>
          <w:p w14:paraId="79E2ABF0"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460,94</w:t>
            </w:r>
          </w:p>
        </w:tc>
      </w:tr>
      <w:tr w:rsidR="008C584A" w:rsidRPr="008C584A" w14:paraId="4C9D05B9" w14:textId="77777777" w:rsidTr="00547343">
        <w:trPr>
          <w:trHeight w:val="250"/>
          <w:jc w:val="center"/>
        </w:trPr>
        <w:tc>
          <w:tcPr>
            <w:tcW w:w="579" w:type="pct"/>
            <w:vAlign w:val="bottom"/>
          </w:tcPr>
          <w:p w14:paraId="610BC8F8"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Dotacje UE</w:t>
            </w:r>
          </w:p>
        </w:tc>
        <w:tc>
          <w:tcPr>
            <w:tcW w:w="421" w:type="pct"/>
            <w:vAlign w:val="bottom"/>
          </w:tcPr>
          <w:p w14:paraId="1C29C2A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2 540 735</w:t>
            </w:r>
          </w:p>
        </w:tc>
        <w:tc>
          <w:tcPr>
            <w:tcW w:w="457" w:type="pct"/>
            <w:vAlign w:val="bottom"/>
          </w:tcPr>
          <w:p w14:paraId="091CBA50"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2 552 817</w:t>
            </w:r>
          </w:p>
        </w:tc>
        <w:tc>
          <w:tcPr>
            <w:tcW w:w="476" w:type="pct"/>
            <w:vAlign w:val="bottom"/>
          </w:tcPr>
          <w:p w14:paraId="2E245366"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917 257</w:t>
            </w:r>
          </w:p>
        </w:tc>
        <w:tc>
          <w:tcPr>
            <w:tcW w:w="422" w:type="pct"/>
            <w:vAlign w:val="bottom"/>
          </w:tcPr>
          <w:p w14:paraId="42A03CB5"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996 783</w:t>
            </w:r>
          </w:p>
        </w:tc>
        <w:tc>
          <w:tcPr>
            <w:tcW w:w="420" w:type="pct"/>
            <w:vAlign w:val="bottom"/>
          </w:tcPr>
          <w:p w14:paraId="1845BEA1"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1 182 925</w:t>
            </w:r>
          </w:p>
        </w:tc>
        <w:tc>
          <w:tcPr>
            <w:tcW w:w="456" w:type="pct"/>
            <w:vAlign w:val="bottom"/>
          </w:tcPr>
          <w:p w14:paraId="46AED5E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1 243 254</w:t>
            </w:r>
          </w:p>
        </w:tc>
        <w:tc>
          <w:tcPr>
            <w:tcW w:w="423" w:type="pct"/>
            <w:vAlign w:val="bottom"/>
          </w:tcPr>
          <w:p w14:paraId="3C51716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4 621 549</w:t>
            </w:r>
          </w:p>
        </w:tc>
        <w:tc>
          <w:tcPr>
            <w:tcW w:w="459" w:type="pct"/>
            <w:vAlign w:val="bottom"/>
          </w:tcPr>
          <w:p w14:paraId="1B77B4B7"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109,68</w:t>
            </w:r>
          </w:p>
        </w:tc>
        <w:tc>
          <w:tcPr>
            <w:tcW w:w="432" w:type="pct"/>
            <w:vAlign w:val="bottom"/>
          </w:tcPr>
          <w:p w14:paraId="5A5C8A7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141,14</w:t>
            </w:r>
          </w:p>
        </w:tc>
        <w:tc>
          <w:tcPr>
            <w:tcW w:w="455" w:type="pct"/>
            <w:vAlign w:val="bottom"/>
          </w:tcPr>
          <w:p w14:paraId="2B39346D"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154,81</w:t>
            </w:r>
          </w:p>
        </w:tc>
      </w:tr>
      <w:tr w:rsidR="008C584A" w:rsidRPr="008C584A" w14:paraId="57395DFE" w14:textId="77777777" w:rsidTr="00547343">
        <w:trPr>
          <w:trHeight w:val="250"/>
          <w:jc w:val="center"/>
        </w:trPr>
        <w:tc>
          <w:tcPr>
            <w:tcW w:w="579" w:type="pct"/>
            <w:vAlign w:val="bottom"/>
          </w:tcPr>
          <w:p w14:paraId="3EF17907" w14:textId="77777777" w:rsidR="008C584A" w:rsidRPr="008C584A" w:rsidRDefault="008C584A" w:rsidP="008C584A">
            <w:pPr>
              <w:spacing w:after="0" w:line="240" w:lineRule="auto"/>
              <w:rPr>
                <w:rFonts w:ascii="Times New Roman" w:eastAsia="Times New Roman" w:hAnsi="Times New Roman" w:cs="Times New Roman"/>
                <w:snapToGrid w:val="0"/>
                <w:color w:val="000000"/>
                <w:sz w:val="16"/>
                <w:szCs w:val="16"/>
                <w:lang w:eastAsia="pl-PL"/>
              </w:rPr>
            </w:pPr>
            <w:r w:rsidRPr="008C584A">
              <w:rPr>
                <w:rFonts w:ascii="Times New Roman" w:eastAsia="Times New Roman" w:hAnsi="Times New Roman" w:cs="Times New Roman"/>
                <w:snapToGrid w:val="0"/>
                <w:color w:val="000000"/>
                <w:sz w:val="16"/>
                <w:szCs w:val="16"/>
                <w:lang w:eastAsia="pl-PL"/>
              </w:rPr>
              <w:t>RAZEM DOCHODY</w:t>
            </w:r>
          </w:p>
        </w:tc>
        <w:tc>
          <w:tcPr>
            <w:tcW w:w="421" w:type="pct"/>
            <w:vAlign w:val="bottom"/>
          </w:tcPr>
          <w:p w14:paraId="50BCCDD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151 974 532</w:t>
            </w:r>
          </w:p>
        </w:tc>
        <w:tc>
          <w:tcPr>
            <w:tcW w:w="457" w:type="pct"/>
            <w:vAlign w:val="bottom"/>
          </w:tcPr>
          <w:p w14:paraId="7630C7A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168 950 088</w:t>
            </w:r>
          </w:p>
        </w:tc>
        <w:tc>
          <w:tcPr>
            <w:tcW w:w="476" w:type="pct"/>
            <w:vAlign w:val="bottom"/>
          </w:tcPr>
          <w:p w14:paraId="4869489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167 287 364</w:t>
            </w:r>
          </w:p>
        </w:tc>
        <w:tc>
          <w:tcPr>
            <w:tcW w:w="422" w:type="pct"/>
            <w:vAlign w:val="bottom"/>
          </w:tcPr>
          <w:p w14:paraId="0A135FD1"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181 791 179</w:t>
            </w:r>
          </w:p>
        </w:tc>
        <w:tc>
          <w:tcPr>
            <w:tcW w:w="420" w:type="pct"/>
            <w:vAlign w:val="bottom"/>
          </w:tcPr>
          <w:p w14:paraId="244F91E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180 163 178</w:t>
            </w:r>
          </w:p>
        </w:tc>
        <w:tc>
          <w:tcPr>
            <w:tcW w:w="456" w:type="pct"/>
            <w:vAlign w:val="bottom"/>
          </w:tcPr>
          <w:p w14:paraId="1B9DB8A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189 351 500</w:t>
            </w:r>
          </w:p>
        </w:tc>
        <w:tc>
          <w:tcPr>
            <w:tcW w:w="423" w:type="pct"/>
            <w:vAlign w:val="bottom"/>
          </w:tcPr>
          <w:p w14:paraId="0CC238D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186 693 819</w:t>
            </w:r>
          </w:p>
        </w:tc>
        <w:tc>
          <w:tcPr>
            <w:tcW w:w="459" w:type="pct"/>
            <w:vAlign w:val="bottom"/>
          </w:tcPr>
          <w:p w14:paraId="120C275E"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146,76</w:t>
            </w:r>
          </w:p>
        </w:tc>
        <w:tc>
          <w:tcPr>
            <w:tcW w:w="432" w:type="pct"/>
            <w:vAlign w:val="bottom"/>
          </w:tcPr>
          <w:p w14:paraId="774EF3A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126,93</w:t>
            </w:r>
          </w:p>
        </w:tc>
        <w:tc>
          <w:tcPr>
            <w:tcW w:w="455" w:type="pct"/>
            <w:vAlign w:val="bottom"/>
          </w:tcPr>
          <w:p w14:paraId="2AE6117B" w14:textId="77777777" w:rsidR="008C584A" w:rsidRPr="008C584A" w:rsidRDefault="008C584A" w:rsidP="008C584A">
            <w:pPr>
              <w:spacing w:after="0" w:line="240" w:lineRule="auto"/>
              <w:jc w:val="right"/>
              <w:rPr>
                <w:rFonts w:ascii="Times New Roman" w:eastAsia="Times New Roman" w:hAnsi="Times New Roman" w:cs="Times New Roman"/>
                <w:color w:val="000000"/>
                <w:sz w:val="16"/>
                <w:szCs w:val="16"/>
                <w:lang w:eastAsia="pl-PL"/>
              </w:rPr>
            </w:pPr>
            <w:r w:rsidRPr="008C584A">
              <w:rPr>
                <w:rFonts w:ascii="Times New Roman" w:eastAsia="Times New Roman" w:hAnsi="Times New Roman" w:cs="Times New Roman"/>
                <w:color w:val="000000"/>
                <w:sz w:val="16"/>
                <w:szCs w:val="16"/>
                <w:lang w:eastAsia="pl-PL"/>
              </w:rPr>
              <w:t>186,28</w:t>
            </w:r>
          </w:p>
        </w:tc>
      </w:tr>
    </w:tbl>
    <w:p w14:paraId="4ED7CFF6" w14:textId="77777777" w:rsidR="008C584A" w:rsidRPr="00EB41D2" w:rsidRDefault="008C584A" w:rsidP="008C584A">
      <w:pPr>
        <w:spacing w:after="0" w:line="240" w:lineRule="auto"/>
        <w:rPr>
          <w:rFonts w:ascii="Times New Roman" w:eastAsia="Times New Roman" w:hAnsi="Times New Roman" w:cs="Times New Roman"/>
          <w:sz w:val="24"/>
          <w:szCs w:val="24"/>
          <w:lang w:eastAsia="pl-PL"/>
        </w:rPr>
      </w:pPr>
      <w:r w:rsidRPr="00EB41D2">
        <w:rPr>
          <w:rFonts w:ascii="Times New Roman" w:eastAsia="Times New Roman" w:hAnsi="Times New Roman" w:cs="Times New Roman"/>
          <w:sz w:val="24"/>
          <w:szCs w:val="24"/>
          <w:lang w:eastAsia="pl-PL"/>
        </w:rPr>
        <w:t>Źródło: obliczenia własne na podstawie danych GUS i sprawozdań budżetowych Gminy Góra Kalwaria</w:t>
      </w:r>
    </w:p>
    <w:p w14:paraId="4851DF6B" w14:textId="77777777" w:rsidR="008C584A" w:rsidRPr="00EB41D2" w:rsidRDefault="008C584A" w:rsidP="008C584A">
      <w:pPr>
        <w:spacing w:after="0" w:line="240" w:lineRule="auto"/>
        <w:rPr>
          <w:rFonts w:ascii="Times New Roman" w:eastAsia="Times New Roman" w:hAnsi="Times New Roman" w:cs="Times New Roman"/>
          <w:i/>
          <w:iCs/>
          <w:sz w:val="24"/>
          <w:szCs w:val="24"/>
          <w:lang w:eastAsia="pl-PL"/>
        </w:rPr>
      </w:pPr>
    </w:p>
    <w:p w14:paraId="2A716236" w14:textId="77777777" w:rsidR="00F84B57" w:rsidRPr="008C584A" w:rsidRDefault="00F84B57" w:rsidP="00F84B57">
      <w:pPr>
        <w:spacing w:after="0" w:line="276" w:lineRule="auto"/>
        <w:ind w:firstLine="380"/>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Dynamika dochodów budżetowych kolejnych lat do roku 2021 nie podlegała dużym wahaniom i kształtowała się w przedziale  od 9,0% do 11,8%. Najwyższy przyrost cechował rok 2019 (+16,7%), a najniższy 2022 (3,6%). </w:t>
      </w:r>
    </w:p>
    <w:p w14:paraId="5AD181DD" w14:textId="77777777" w:rsidR="00F84B57" w:rsidRPr="008C584A" w:rsidRDefault="00F84B57"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Dokonując ogólnych ocen należy zwrócić uwagę, że w warunkach zmieniającej się sytuacji społeczno-gospodarczej utrzymywał się wzrostowy trend dochodów budżetowych. Na </w:t>
      </w:r>
      <w:r w:rsidRPr="008C584A">
        <w:rPr>
          <w:rFonts w:ascii="Times New Roman" w:eastAsia="Times New Roman" w:hAnsi="Times New Roman" w:cs="Times New Roman"/>
          <w:sz w:val="24"/>
          <w:szCs w:val="24"/>
          <w:lang w:eastAsia="pl-PL"/>
        </w:rPr>
        <w:lastRenderedPageBreak/>
        <w:t xml:space="preserve">dynamikę kolejnych lat wpływ miały czynniki zewnętrzne, w tym sytuacja makroekonomiczna kraju i regionu, a także wewnętrzne wynikające z lokalnej polityki finansowej oraz zdolności do pozyskiwania zewnętrznych źródeł finansowania inwestycji. </w:t>
      </w:r>
    </w:p>
    <w:p w14:paraId="628FEC9F" w14:textId="77777777" w:rsidR="00F84B57" w:rsidRPr="008C584A" w:rsidRDefault="00F84B57" w:rsidP="008C584A">
      <w:pPr>
        <w:tabs>
          <w:tab w:val="center" w:pos="4536"/>
          <w:tab w:val="right" w:pos="9072"/>
        </w:tabs>
        <w:spacing w:after="0" w:line="240" w:lineRule="auto"/>
        <w:rPr>
          <w:rFonts w:ascii="Times New Roman" w:eastAsia="Times New Roman" w:hAnsi="Times New Roman" w:cs="Times New Roman"/>
          <w:sz w:val="24"/>
          <w:szCs w:val="20"/>
          <w:lang w:eastAsia="pl-PL"/>
        </w:rPr>
      </w:pPr>
    </w:p>
    <w:p w14:paraId="0B343577" w14:textId="77777777" w:rsidR="003B6DC7" w:rsidRPr="008C584A" w:rsidRDefault="008C584A" w:rsidP="003B6DC7">
      <w:pPr>
        <w:tabs>
          <w:tab w:val="center" w:pos="4536"/>
          <w:tab w:val="right" w:pos="9072"/>
        </w:tabs>
        <w:spacing w:after="0" w:line="240" w:lineRule="auto"/>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     </w:t>
      </w:r>
      <w:r w:rsidR="003B6DC7" w:rsidRPr="008C584A">
        <w:rPr>
          <w:rFonts w:ascii="Times New Roman" w:eastAsia="Times New Roman" w:hAnsi="Times New Roman" w:cs="Times New Roman"/>
          <w:sz w:val="24"/>
          <w:szCs w:val="20"/>
          <w:lang w:eastAsia="pl-PL"/>
        </w:rPr>
        <w:t>Ry</w:t>
      </w:r>
      <w:r w:rsidR="003B6DC7">
        <w:rPr>
          <w:rFonts w:ascii="Times New Roman" w:eastAsia="Times New Roman" w:hAnsi="Times New Roman" w:cs="Times New Roman"/>
          <w:sz w:val="24"/>
          <w:szCs w:val="20"/>
          <w:lang w:eastAsia="pl-PL"/>
        </w:rPr>
        <w:t>c.</w:t>
      </w:r>
      <w:r w:rsidR="003B6DC7" w:rsidRPr="008C584A">
        <w:rPr>
          <w:rFonts w:ascii="Times New Roman" w:eastAsia="Times New Roman" w:hAnsi="Times New Roman" w:cs="Times New Roman"/>
          <w:sz w:val="24"/>
          <w:szCs w:val="20"/>
          <w:lang w:eastAsia="pl-PL"/>
        </w:rPr>
        <w:t xml:space="preserve"> </w:t>
      </w:r>
      <w:r w:rsidR="003B6DC7">
        <w:rPr>
          <w:rFonts w:ascii="Times New Roman" w:eastAsia="Times New Roman" w:hAnsi="Times New Roman" w:cs="Times New Roman"/>
          <w:sz w:val="24"/>
          <w:szCs w:val="20"/>
          <w:lang w:eastAsia="pl-PL"/>
        </w:rPr>
        <w:t>6</w:t>
      </w:r>
      <w:r w:rsidR="003B6DC7" w:rsidRPr="008C584A">
        <w:rPr>
          <w:rFonts w:ascii="Times New Roman" w:eastAsia="Times New Roman" w:hAnsi="Times New Roman" w:cs="Times New Roman"/>
          <w:sz w:val="24"/>
          <w:szCs w:val="20"/>
          <w:lang w:eastAsia="pl-PL"/>
        </w:rPr>
        <w:t xml:space="preserve"> Dochody budżetu gminy Góra Kalwaria w latach 2014-2022 w zł. </w:t>
      </w:r>
    </w:p>
    <w:p w14:paraId="6982196F" w14:textId="6CF3D851" w:rsidR="008C584A" w:rsidRPr="008C584A" w:rsidRDefault="008C584A" w:rsidP="008C584A">
      <w:pPr>
        <w:tabs>
          <w:tab w:val="center" w:pos="4536"/>
          <w:tab w:val="right" w:pos="9072"/>
        </w:tabs>
        <w:spacing w:after="0" w:line="240" w:lineRule="auto"/>
        <w:rPr>
          <w:rFonts w:ascii="Times New Roman" w:eastAsia="Times New Roman" w:hAnsi="Times New Roman" w:cs="Times New Roman"/>
          <w:sz w:val="24"/>
          <w:szCs w:val="20"/>
          <w:lang w:eastAsia="pl-PL"/>
        </w:rPr>
      </w:pPr>
    </w:p>
    <w:p w14:paraId="3F16B1D5" w14:textId="77777777" w:rsidR="008C584A" w:rsidRPr="008C584A" w:rsidRDefault="008C584A" w:rsidP="008C584A">
      <w:pPr>
        <w:spacing w:after="0" w:line="240" w:lineRule="auto"/>
        <w:jc w:val="center"/>
        <w:rPr>
          <w:rFonts w:ascii="Times New Roman" w:eastAsia="Times New Roman" w:hAnsi="Times New Roman" w:cs="Times New Roman"/>
          <w:i/>
          <w:iCs/>
          <w:noProof/>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1E639D11" wp14:editId="27661AAC">
            <wp:extent cx="5387975" cy="2495550"/>
            <wp:effectExtent l="0" t="0" r="3175" b="0"/>
            <wp:docPr id="18" name="Wykres 18">
              <a:extLst xmlns:a="http://schemas.openxmlformats.org/drawingml/2006/main">
                <a:ext uri="{FF2B5EF4-FFF2-40B4-BE49-F238E27FC236}">
                  <a16:creationId xmlns:a16="http://schemas.microsoft.com/office/drawing/2014/main" id="{0D7A64E1-8CAB-44F8-AD9B-421A01056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6BA16F6" w14:textId="77777777" w:rsidR="00A17EB1" w:rsidRDefault="00A17EB1" w:rsidP="008C584A">
      <w:pPr>
        <w:spacing w:after="0" w:line="240" w:lineRule="auto"/>
        <w:jc w:val="center"/>
        <w:rPr>
          <w:rFonts w:ascii="Times New Roman" w:eastAsia="Times New Roman" w:hAnsi="Times New Roman" w:cs="Times New Roman"/>
          <w:bCs/>
          <w:sz w:val="20"/>
          <w:szCs w:val="20"/>
          <w:lang w:eastAsia="pl-PL"/>
        </w:rPr>
      </w:pPr>
    </w:p>
    <w:p w14:paraId="64B1118B" w14:textId="784268C4" w:rsidR="008C584A" w:rsidRPr="00EB41D2" w:rsidRDefault="008C584A" w:rsidP="00EB41D2">
      <w:pPr>
        <w:spacing w:after="0" w:line="240" w:lineRule="auto"/>
        <w:rPr>
          <w:rFonts w:ascii="Times New Roman" w:eastAsia="Times New Roman" w:hAnsi="Times New Roman" w:cs="Times New Roman"/>
          <w:bCs/>
          <w:sz w:val="24"/>
          <w:szCs w:val="24"/>
          <w:lang w:eastAsia="pl-PL"/>
        </w:rPr>
      </w:pPr>
      <w:r w:rsidRPr="00EB41D2">
        <w:rPr>
          <w:rFonts w:ascii="Times New Roman" w:eastAsia="Times New Roman" w:hAnsi="Times New Roman" w:cs="Times New Roman"/>
          <w:bCs/>
          <w:sz w:val="24"/>
          <w:szCs w:val="24"/>
          <w:lang w:eastAsia="pl-PL"/>
        </w:rPr>
        <w:t xml:space="preserve">Źródło: rysunek własny </w:t>
      </w:r>
      <w:r w:rsidRPr="00EB41D2">
        <w:rPr>
          <w:rFonts w:ascii="Times New Roman" w:eastAsia="Times New Roman" w:hAnsi="Times New Roman" w:cs="Times New Roman"/>
          <w:sz w:val="24"/>
          <w:szCs w:val="24"/>
          <w:lang w:eastAsia="pl-PL"/>
        </w:rPr>
        <w:t>na podstawie danych GUS i sprawozdań budżetowych Gminy Góra Kalwaria</w:t>
      </w:r>
    </w:p>
    <w:p w14:paraId="77FAE12D" w14:textId="77777777" w:rsidR="008C584A" w:rsidRPr="00EB41D2" w:rsidRDefault="008C584A" w:rsidP="00EB41D2">
      <w:pPr>
        <w:spacing w:after="0" w:line="240" w:lineRule="auto"/>
        <w:rPr>
          <w:rFonts w:ascii="Times New Roman" w:eastAsia="Times New Roman" w:hAnsi="Times New Roman" w:cs="Times New Roman"/>
          <w:i/>
          <w:iCs/>
          <w:sz w:val="24"/>
          <w:szCs w:val="24"/>
          <w:lang w:eastAsia="pl-PL"/>
        </w:rPr>
      </w:pPr>
    </w:p>
    <w:p w14:paraId="6592019F" w14:textId="77777777" w:rsidR="00A17EB1" w:rsidRDefault="00A17EB1" w:rsidP="008C584A">
      <w:pPr>
        <w:spacing w:after="0" w:line="360" w:lineRule="auto"/>
        <w:ind w:firstLine="380"/>
        <w:jc w:val="both"/>
        <w:rPr>
          <w:rFonts w:ascii="Times New Roman" w:eastAsia="Times New Roman" w:hAnsi="Times New Roman" w:cs="Times New Roman"/>
          <w:sz w:val="24"/>
          <w:szCs w:val="24"/>
          <w:lang w:eastAsia="pl-PL"/>
        </w:rPr>
      </w:pPr>
    </w:p>
    <w:p w14:paraId="7A91242B" w14:textId="77777777" w:rsidR="008C584A" w:rsidRPr="008C584A" w:rsidRDefault="008C584A" w:rsidP="008C584A">
      <w:pPr>
        <w:spacing w:after="0" w:line="312" w:lineRule="auto"/>
        <w:jc w:val="both"/>
        <w:rPr>
          <w:rFonts w:ascii="Symbol" w:eastAsia="Times New Roman" w:hAnsi="Symbol" w:cs="Times New Roman"/>
          <w:b/>
          <w:bCs/>
          <w:i/>
          <w:iCs/>
          <w:sz w:val="16"/>
          <w:szCs w:val="16"/>
          <w:lang w:eastAsia="pl-PL"/>
        </w:rPr>
      </w:pPr>
    </w:p>
    <w:p w14:paraId="2D257890" w14:textId="77777777" w:rsidR="008C584A" w:rsidRPr="008C584A" w:rsidRDefault="008C584A" w:rsidP="00F84B57">
      <w:pPr>
        <w:spacing w:after="0" w:line="276" w:lineRule="auto"/>
        <w:jc w:val="both"/>
        <w:rPr>
          <w:rFonts w:ascii="Times New Roman" w:eastAsia="Times New Roman" w:hAnsi="Times New Roman" w:cs="Times New Roman"/>
          <w:b/>
          <w:bCs/>
          <w:sz w:val="24"/>
          <w:szCs w:val="24"/>
          <w:lang w:eastAsia="pl-PL"/>
        </w:rPr>
      </w:pPr>
      <w:r w:rsidRPr="008C584A">
        <w:rPr>
          <w:rFonts w:ascii="Times New Roman" w:eastAsia="Times New Roman" w:hAnsi="Times New Roman" w:cs="Times New Roman"/>
          <w:b/>
          <w:bCs/>
          <w:sz w:val="24"/>
          <w:szCs w:val="24"/>
          <w:lang w:eastAsia="pl-PL"/>
        </w:rPr>
        <w:t>Struktura dochodów budżetu Gminy Góra Kalwaria w latach 2014-2022</w:t>
      </w:r>
    </w:p>
    <w:p w14:paraId="118EF85E" w14:textId="77777777" w:rsidR="008C584A" w:rsidRPr="008C584A" w:rsidRDefault="008C584A" w:rsidP="00F84B57">
      <w:pPr>
        <w:spacing w:after="0" w:line="276" w:lineRule="auto"/>
        <w:ind w:firstLine="357"/>
        <w:jc w:val="both"/>
        <w:rPr>
          <w:rFonts w:ascii="Times New Roman" w:eastAsia="Times New Roman" w:hAnsi="Times New Roman" w:cs="Times New Roman"/>
          <w:i/>
          <w:iCs/>
          <w:sz w:val="16"/>
          <w:szCs w:val="16"/>
          <w:lang w:eastAsia="pl-PL"/>
        </w:rPr>
      </w:pPr>
    </w:p>
    <w:p w14:paraId="34DAEFA3" w14:textId="75944560" w:rsid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Dane liczbowe obrazujące strukturę źródeł dochodów budżetów gminy Góra Kalwaria w latach 2014-2022 przedstawiono w tabeli </w:t>
      </w:r>
      <w:r w:rsidR="003B6DC7">
        <w:rPr>
          <w:rFonts w:ascii="Times New Roman" w:eastAsia="Times New Roman" w:hAnsi="Times New Roman" w:cs="Times New Roman"/>
          <w:sz w:val="24"/>
          <w:szCs w:val="24"/>
          <w:lang w:eastAsia="pl-PL"/>
        </w:rPr>
        <w:t>8</w:t>
      </w:r>
      <w:r w:rsidRPr="008C584A">
        <w:rPr>
          <w:rFonts w:ascii="Times New Roman" w:eastAsia="Times New Roman" w:hAnsi="Times New Roman" w:cs="Times New Roman"/>
          <w:sz w:val="24"/>
          <w:szCs w:val="24"/>
          <w:lang w:eastAsia="pl-PL"/>
        </w:rPr>
        <w:t>, zilustrowanej ry</w:t>
      </w:r>
      <w:r w:rsidR="003B6DC7">
        <w:rPr>
          <w:rFonts w:ascii="Times New Roman" w:eastAsia="Times New Roman" w:hAnsi="Times New Roman" w:cs="Times New Roman"/>
          <w:sz w:val="24"/>
          <w:szCs w:val="24"/>
          <w:lang w:eastAsia="pl-PL"/>
        </w:rPr>
        <w:t>c.</w:t>
      </w:r>
      <w:r w:rsidRPr="008C584A">
        <w:rPr>
          <w:rFonts w:ascii="Times New Roman" w:eastAsia="Times New Roman" w:hAnsi="Times New Roman" w:cs="Times New Roman"/>
          <w:sz w:val="24"/>
          <w:szCs w:val="24"/>
          <w:lang w:eastAsia="pl-PL"/>
        </w:rPr>
        <w:t xml:space="preserve"> </w:t>
      </w:r>
      <w:r w:rsidR="003B6DC7">
        <w:rPr>
          <w:rFonts w:ascii="Times New Roman" w:eastAsia="Times New Roman" w:hAnsi="Times New Roman" w:cs="Times New Roman"/>
          <w:sz w:val="24"/>
          <w:szCs w:val="24"/>
          <w:lang w:eastAsia="pl-PL"/>
        </w:rPr>
        <w:t>7</w:t>
      </w:r>
      <w:r w:rsidRPr="008C584A">
        <w:rPr>
          <w:rFonts w:ascii="Times New Roman" w:eastAsia="Times New Roman" w:hAnsi="Times New Roman" w:cs="Times New Roman"/>
          <w:sz w:val="24"/>
          <w:szCs w:val="24"/>
          <w:lang w:eastAsia="pl-PL"/>
        </w:rPr>
        <w:t>. Wyszczególniono w niej podstawowe grupy dochodów z podziałem na dochody własne – na które składają się lokalne dochody własne i udziały w podatkach wspólnych z budżetem państwa oraz dochody uzupełniające (subwencje i dotacje).</w:t>
      </w:r>
    </w:p>
    <w:p w14:paraId="4041CE34" w14:textId="77777777" w:rsidR="003F13DF" w:rsidRPr="008C584A" w:rsidRDefault="003F13DF" w:rsidP="00F84B57">
      <w:pPr>
        <w:spacing w:after="0" w:line="360" w:lineRule="auto"/>
        <w:jc w:val="both"/>
        <w:rPr>
          <w:rFonts w:ascii="Times New Roman" w:eastAsia="Times New Roman" w:hAnsi="Times New Roman" w:cs="Times New Roman"/>
          <w:sz w:val="24"/>
          <w:szCs w:val="24"/>
          <w:lang w:eastAsia="pl-PL"/>
        </w:rPr>
      </w:pPr>
    </w:p>
    <w:p w14:paraId="4E28109D" w14:textId="032CF8DE" w:rsidR="008C584A" w:rsidRPr="008C584A" w:rsidRDefault="008C584A" w:rsidP="008C584A">
      <w:pPr>
        <w:spacing w:after="0" w:line="240" w:lineRule="auto"/>
        <w:rPr>
          <w:rFonts w:ascii="Times New Roman" w:eastAsia="Times New Roman" w:hAnsi="Times New Roman" w:cs="Times New Roman"/>
          <w:sz w:val="24"/>
          <w:szCs w:val="24"/>
          <w:lang w:eastAsia="pl-PL"/>
        </w:rPr>
      </w:pPr>
      <w:bookmarkStart w:id="46" w:name="_Hlk119636352"/>
      <w:r w:rsidRPr="008C584A">
        <w:rPr>
          <w:rFonts w:ascii="Times New Roman" w:eastAsia="Times New Roman" w:hAnsi="Times New Roman" w:cs="Times New Roman"/>
          <w:sz w:val="24"/>
          <w:szCs w:val="24"/>
          <w:lang w:eastAsia="pl-PL"/>
        </w:rPr>
        <w:t xml:space="preserve">Tabela </w:t>
      </w:r>
      <w:r w:rsidR="003B6DC7">
        <w:rPr>
          <w:rFonts w:ascii="Times New Roman" w:eastAsia="Times New Roman" w:hAnsi="Times New Roman" w:cs="Times New Roman"/>
          <w:sz w:val="24"/>
          <w:szCs w:val="24"/>
          <w:lang w:eastAsia="pl-PL"/>
        </w:rPr>
        <w:t>8</w:t>
      </w:r>
      <w:r w:rsidRPr="008C584A">
        <w:rPr>
          <w:rFonts w:ascii="Times New Roman" w:eastAsia="Times New Roman" w:hAnsi="Times New Roman" w:cs="Times New Roman"/>
          <w:sz w:val="24"/>
          <w:szCs w:val="24"/>
          <w:lang w:eastAsia="pl-PL"/>
        </w:rPr>
        <w:t xml:space="preserve"> Struktura dochodów budżetu Gminy Góra Kalwaria lata 2014-2022 (w %)</w:t>
      </w:r>
    </w:p>
    <w:tbl>
      <w:tblPr>
        <w:tblW w:w="9125"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38"/>
        <w:gridCol w:w="708"/>
        <w:gridCol w:w="709"/>
        <w:gridCol w:w="709"/>
        <w:gridCol w:w="709"/>
        <w:gridCol w:w="708"/>
        <w:gridCol w:w="709"/>
        <w:gridCol w:w="567"/>
        <w:gridCol w:w="709"/>
        <w:gridCol w:w="711"/>
        <w:gridCol w:w="848"/>
      </w:tblGrid>
      <w:tr w:rsidR="008C584A" w:rsidRPr="008C584A" w14:paraId="783D455C" w14:textId="77777777" w:rsidTr="005155C7">
        <w:trPr>
          <w:trHeight w:val="258"/>
        </w:trPr>
        <w:tc>
          <w:tcPr>
            <w:tcW w:w="2038" w:type="dxa"/>
            <w:shd w:val="clear" w:color="auto" w:fill="D9E2F3" w:themeFill="accent1" w:themeFillTint="33"/>
            <w:vAlign w:val="bottom"/>
          </w:tcPr>
          <w:bookmarkEnd w:id="46"/>
          <w:p w14:paraId="72122D0D" w14:textId="77777777" w:rsidR="008C584A" w:rsidRPr="005155C7" w:rsidRDefault="008C584A" w:rsidP="008C584A">
            <w:pPr>
              <w:spacing w:after="0" w:line="240" w:lineRule="auto"/>
              <w:jc w:val="center"/>
              <w:rPr>
                <w:rFonts w:ascii="Times New Roman" w:eastAsia="Times New Roman" w:hAnsi="Times New Roman" w:cs="Times New Roman"/>
                <w:b/>
                <w:bCs/>
                <w:sz w:val="18"/>
                <w:szCs w:val="18"/>
                <w:lang w:eastAsia="pl-PL"/>
              </w:rPr>
            </w:pPr>
            <w:r w:rsidRPr="005155C7">
              <w:rPr>
                <w:rFonts w:ascii="Times New Roman" w:eastAsia="Times New Roman" w:hAnsi="Times New Roman" w:cs="Times New Roman"/>
                <w:b/>
                <w:bCs/>
                <w:sz w:val="18"/>
                <w:szCs w:val="18"/>
                <w:lang w:eastAsia="pl-PL"/>
              </w:rPr>
              <w:t>Wyszczególnienie </w:t>
            </w:r>
          </w:p>
        </w:tc>
        <w:tc>
          <w:tcPr>
            <w:tcW w:w="708" w:type="dxa"/>
            <w:shd w:val="clear" w:color="auto" w:fill="D9E2F3" w:themeFill="accent1" w:themeFillTint="33"/>
            <w:vAlign w:val="bottom"/>
          </w:tcPr>
          <w:p w14:paraId="3E5739A5"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2014</w:t>
            </w:r>
          </w:p>
        </w:tc>
        <w:tc>
          <w:tcPr>
            <w:tcW w:w="709" w:type="dxa"/>
            <w:shd w:val="clear" w:color="auto" w:fill="D9E2F3" w:themeFill="accent1" w:themeFillTint="33"/>
            <w:vAlign w:val="bottom"/>
          </w:tcPr>
          <w:p w14:paraId="334B3467"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2015</w:t>
            </w:r>
          </w:p>
        </w:tc>
        <w:tc>
          <w:tcPr>
            <w:tcW w:w="709" w:type="dxa"/>
            <w:shd w:val="clear" w:color="auto" w:fill="D9E2F3" w:themeFill="accent1" w:themeFillTint="33"/>
            <w:vAlign w:val="bottom"/>
          </w:tcPr>
          <w:p w14:paraId="67261581"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2016</w:t>
            </w:r>
          </w:p>
        </w:tc>
        <w:tc>
          <w:tcPr>
            <w:tcW w:w="709" w:type="dxa"/>
            <w:shd w:val="clear" w:color="auto" w:fill="D9E2F3" w:themeFill="accent1" w:themeFillTint="33"/>
            <w:vAlign w:val="bottom"/>
          </w:tcPr>
          <w:p w14:paraId="3B13D7A5"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2017</w:t>
            </w:r>
          </w:p>
        </w:tc>
        <w:tc>
          <w:tcPr>
            <w:tcW w:w="708" w:type="dxa"/>
            <w:shd w:val="clear" w:color="auto" w:fill="D9E2F3" w:themeFill="accent1" w:themeFillTint="33"/>
            <w:vAlign w:val="bottom"/>
          </w:tcPr>
          <w:p w14:paraId="0344B05C"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2018</w:t>
            </w:r>
          </w:p>
        </w:tc>
        <w:tc>
          <w:tcPr>
            <w:tcW w:w="709" w:type="dxa"/>
            <w:shd w:val="clear" w:color="auto" w:fill="D9E2F3" w:themeFill="accent1" w:themeFillTint="33"/>
            <w:vAlign w:val="bottom"/>
          </w:tcPr>
          <w:p w14:paraId="7D2E5D9C"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2019</w:t>
            </w:r>
          </w:p>
        </w:tc>
        <w:tc>
          <w:tcPr>
            <w:tcW w:w="567" w:type="dxa"/>
            <w:shd w:val="clear" w:color="auto" w:fill="D9E2F3" w:themeFill="accent1" w:themeFillTint="33"/>
            <w:vAlign w:val="bottom"/>
          </w:tcPr>
          <w:p w14:paraId="76CA1F9C"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2020</w:t>
            </w:r>
          </w:p>
        </w:tc>
        <w:tc>
          <w:tcPr>
            <w:tcW w:w="709" w:type="dxa"/>
            <w:shd w:val="clear" w:color="auto" w:fill="D9E2F3" w:themeFill="accent1" w:themeFillTint="33"/>
            <w:vAlign w:val="bottom"/>
          </w:tcPr>
          <w:p w14:paraId="432B90D8"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2021</w:t>
            </w:r>
          </w:p>
        </w:tc>
        <w:tc>
          <w:tcPr>
            <w:tcW w:w="711" w:type="dxa"/>
            <w:shd w:val="clear" w:color="auto" w:fill="D9E2F3" w:themeFill="accent1" w:themeFillTint="33"/>
            <w:vAlign w:val="bottom"/>
          </w:tcPr>
          <w:p w14:paraId="79607AF8"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2022</w:t>
            </w:r>
          </w:p>
        </w:tc>
        <w:tc>
          <w:tcPr>
            <w:tcW w:w="848" w:type="dxa"/>
            <w:shd w:val="clear" w:color="auto" w:fill="D9E2F3" w:themeFill="accent1" w:themeFillTint="33"/>
            <w:vAlign w:val="bottom"/>
          </w:tcPr>
          <w:p w14:paraId="055A6765"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8"/>
                <w:szCs w:val="18"/>
                <w:lang w:eastAsia="pl-PL"/>
              </w:rPr>
            </w:pPr>
            <w:r w:rsidRPr="005155C7">
              <w:rPr>
                <w:rFonts w:ascii="Times New Roman" w:eastAsia="Times New Roman" w:hAnsi="Times New Roman" w:cs="Times New Roman"/>
                <w:b/>
                <w:bCs/>
                <w:color w:val="000000"/>
                <w:sz w:val="18"/>
                <w:szCs w:val="18"/>
                <w:lang w:eastAsia="pl-PL"/>
              </w:rPr>
              <w:t>2022-2014</w:t>
            </w:r>
          </w:p>
        </w:tc>
      </w:tr>
      <w:tr w:rsidR="008C584A" w:rsidRPr="008C584A" w14:paraId="64AD454C" w14:textId="77777777" w:rsidTr="005155C7">
        <w:trPr>
          <w:trHeight w:val="258"/>
        </w:trPr>
        <w:tc>
          <w:tcPr>
            <w:tcW w:w="2038" w:type="dxa"/>
            <w:vAlign w:val="bottom"/>
          </w:tcPr>
          <w:p w14:paraId="619AD90D"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Lokalne dochody własne</w:t>
            </w:r>
          </w:p>
        </w:tc>
        <w:tc>
          <w:tcPr>
            <w:tcW w:w="708" w:type="dxa"/>
            <w:vAlign w:val="bottom"/>
          </w:tcPr>
          <w:p w14:paraId="0C85A0AA"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39,21</w:t>
            </w:r>
          </w:p>
        </w:tc>
        <w:tc>
          <w:tcPr>
            <w:tcW w:w="709" w:type="dxa"/>
            <w:vAlign w:val="bottom"/>
          </w:tcPr>
          <w:p w14:paraId="7D716488"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40,38</w:t>
            </w:r>
          </w:p>
        </w:tc>
        <w:tc>
          <w:tcPr>
            <w:tcW w:w="709" w:type="dxa"/>
            <w:vAlign w:val="bottom"/>
          </w:tcPr>
          <w:p w14:paraId="022AC041"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32,72</w:t>
            </w:r>
          </w:p>
        </w:tc>
        <w:tc>
          <w:tcPr>
            <w:tcW w:w="709" w:type="dxa"/>
            <w:vAlign w:val="bottom"/>
          </w:tcPr>
          <w:p w14:paraId="3D1E210E"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31,21</w:t>
            </w:r>
          </w:p>
        </w:tc>
        <w:tc>
          <w:tcPr>
            <w:tcW w:w="708" w:type="dxa"/>
            <w:vAlign w:val="bottom"/>
          </w:tcPr>
          <w:p w14:paraId="47E6ECB5"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29,68</w:t>
            </w:r>
          </w:p>
        </w:tc>
        <w:tc>
          <w:tcPr>
            <w:tcW w:w="709" w:type="dxa"/>
            <w:vAlign w:val="bottom"/>
          </w:tcPr>
          <w:p w14:paraId="0113A556"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30,78</w:t>
            </w:r>
          </w:p>
        </w:tc>
        <w:tc>
          <w:tcPr>
            <w:tcW w:w="567" w:type="dxa"/>
            <w:vAlign w:val="bottom"/>
          </w:tcPr>
          <w:p w14:paraId="69BA95F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32,68</w:t>
            </w:r>
          </w:p>
        </w:tc>
        <w:tc>
          <w:tcPr>
            <w:tcW w:w="709" w:type="dxa"/>
            <w:vAlign w:val="bottom"/>
          </w:tcPr>
          <w:p w14:paraId="361796F2"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28,94</w:t>
            </w:r>
          </w:p>
        </w:tc>
        <w:tc>
          <w:tcPr>
            <w:tcW w:w="711" w:type="dxa"/>
            <w:vAlign w:val="bottom"/>
          </w:tcPr>
          <w:p w14:paraId="42069708"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32,49</w:t>
            </w:r>
          </w:p>
        </w:tc>
        <w:tc>
          <w:tcPr>
            <w:tcW w:w="848" w:type="dxa"/>
            <w:vAlign w:val="bottom"/>
          </w:tcPr>
          <w:p w14:paraId="11DCF4F0"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-6,72</w:t>
            </w:r>
          </w:p>
        </w:tc>
      </w:tr>
      <w:tr w:rsidR="008C584A" w:rsidRPr="008C584A" w14:paraId="042D5B58" w14:textId="77777777" w:rsidTr="005155C7">
        <w:trPr>
          <w:trHeight w:val="266"/>
        </w:trPr>
        <w:tc>
          <w:tcPr>
            <w:tcW w:w="2038" w:type="dxa"/>
            <w:vAlign w:val="bottom"/>
          </w:tcPr>
          <w:p w14:paraId="66485198"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Udziały  w podatkach budżetu państwa</w:t>
            </w:r>
          </w:p>
        </w:tc>
        <w:tc>
          <w:tcPr>
            <w:tcW w:w="708" w:type="dxa"/>
            <w:vAlign w:val="bottom"/>
          </w:tcPr>
          <w:p w14:paraId="7F6F1E0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23,65</w:t>
            </w:r>
          </w:p>
        </w:tc>
        <w:tc>
          <w:tcPr>
            <w:tcW w:w="709" w:type="dxa"/>
            <w:vAlign w:val="bottom"/>
          </w:tcPr>
          <w:p w14:paraId="64DF6B9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23,58</w:t>
            </w:r>
          </w:p>
        </w:tc>
        <w:tc>
          <w:tcPr>
            <w:tcW w:w="709" w:type="dxa"/>
            <w:vAlign w:val="bottom"/>
          </w:tcPr>
          <w:p w14:paraId="6A2EC46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23,79</w:t>
            </w:r>
          </w:p>
        </w:tc>
        <w:tc>
          <w:tcPr>
            <w:tcW w:w="709" w:type="dxa"/>
            <w:vAlign w:val="bottom"/>
          </w:tcPr>
          <w:p w14:paraId="1F32D4F5"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23,57</w:t>
            </w:r>
          </w:p>
        </w:tc>
        <w:tc>
          <w:tcPr>
            <w:tcW w:w="708" w:type="dxa"/>
            <w:vAlign w:val="bottom"/>
          </w:tcPr>
          <w:p w14:paraId="7C206D6D"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25,68</w:t>
            </w:r>
          </w:p>
        </w:tc>
        <w:tc>
          <w:tcPr>
            <w:tcW w:w="709" w:type="dxa"/>
            <w:vAlign w:val="bottom"/>
          </w:tcPr>
          <w:p w14:paraId="0312F82C"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24,46</w:t>
            </w:r>
          </w:p>
        </w:tc>
        <w:tc>
          <w:tcPr>
            <w:tcW w:w="567" w:type="dxa"/>
            <w:vAlign w:val="bottom"/>
          </w:tcPr>
          <w:p w14:paraId="09C74FFB"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22,10</w:t>
            </w:r>
          </w:p>
        </w:tc>
        <w:tc>
          <w:tcPr>
            <w:tcW w:w="709" w:type="dxa"/>
            <w:vAlign w:val="bottom"/>
          </w:tcPr>
          <w:p w14:paraId="3E54192B"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24,18</w:t>
            </w:r>
          </w:p>
        </w:tc>
        <w:tc>
          <w:tcPr>
            <w:tcW w:w="711" w:type="dxa"/>
            <w:vAlign w:val="bottom"/>
          </w:tcPr>
          <w:p w14:paraId="3B564DF2"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23,22</w:t>
            </w:r>
          </w:p>
        </w:tc>
        <w:tc>
          <w:tcPr>
            <w:tcW w:w="848" w:type="dxa"/>
            <w:vAlign w:val="bottom"/>
          </w:tcPr>
          <w:p w14:paraId="78F90478"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-0,43</w:t>
            </w:r>
          </w:p>
        </w:tc>
      </w:tr>
      <w:tr w:rsidR="008C584A" w:rsidRPr="008C584A" w14:paraId="0831CF8C" w14:textId="77777777" w:rsidTr="005155C7">
        <w:trPr>
          <w:trHeight w:val="258"/>
        </w:trPr>
        <w:tc>
          <w:tcPr>
            <w:tcW w:w="2038" w:type="dxa"/>
            <w:vAlign w:val="bottom"/>
          </w:tcPr>
          <w:p w14:paraId="5B15FA3C"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Subwencja ogólna </w:t>
            </w:r>
          </w:p>
        </w:tc>
        <w:tc>
          <w:tcPr>
            <w:tcW w:w="708" w:type="dxa"/>
            <w:vAlign w:val="bottom"/>
          </w:tcPr>
          <w:p w14:paraId="752DC3A2"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23,87</w:t>
            </w:r>
          </w:p>
        </w:tc>
        <w:tc>
          <w:tcPr>
            <w:tcW w:w="709" w:type="dxa"/>
            <w:vAlign w:val="bottom"/>
          </w:tcPr>
          <w:p w14:paraId="77B71702"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21,91</w:t>
            </w:r>
          </w:p>
        </w:tc>
        <w:tc>
          <w:tcPr>
            <w:tcW w:w="709" w:type="dxa"/>
            <w:vAlign w:val="bottom"/>
          </w:tcPr>
          <w:p w14:paraId="45FA9CFD"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21,10</w:t>
            </w:r>
          </w:p>
        </w:tc>
        <w:tc>
          <w:tcPr>
            <w:tcW w:w="709" w:type="dxa"/>
            <w:vAlign w:val="bottom"/>
          </w:tcPr>
          <w:p w14:paraId="3A657A17"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19,59</w:t>
            </w:r>
          </w:p>
        </w:tc>
        <w:tc>
          <w:tcPr>
            <w:tcW w:w="708" w:type="dxa"/>
            <w:vAlign w:val="bottom"/>
          </w:tcPr>
          <w:p w14:paraId="6209989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18,73</w:t>
            </w:r>
          </w:p>
        </w:tc>
        <w:tc>
          <w:tcPr>
            <w:tcW w:w="709" w:type="dxa"/>
            <w:vAlign w:val="bottom"/>
          </w:tcPr>
          <w:p w14:paraId="252F1F8A"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17,16</w:t>
            </w:r>
          </w:p>
        </w:tc>
        <w:tc>
          <w:tcPr>
            <w:tcW w:w="567" w:type="dxa"/>
            <w:vAlign w:val="bottom"/>
          </w:tcPr>
          <w:p w14:paraId="1BD9A656"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15,72</w:t>
            </w:r>
          </w:p>
        </w:tc>
        <w:tc>
          <w:tcPr>
            <w:tcW w:w="709" w:type="dxa"/>
            <w:vAlign w:val="bottom"/>
          </w:tcPr>
          <w:p w14:paraId="07CEE35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18,81</w:t>
            </w:r>
          </w:p>
        </w:tc>
        <w:tc>
          <w:tcPr>
            <w:tcW w:w="711" w:type="dxa"/>
            <w:vAlign w:val="bottom"/>
          </w:tcPr>
          <w:p w14:paraId="26F57AD8"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16,32</w:t>
            </w:r>
          </w:p>
        </w:tc>
        <w:tc>
          <w:tcPr>
            <w:tcW w:w="848" w:type="dxa"/>
            <w:vAlign w:val="bottom"/>
          </w:tcPr>
          <w:p w14:paraId="32768750"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-7,55</w:t>
            </w:r>
          </w:p>
        </w:tc>
      </w:tr>
      <w:tr w:rsidR="008C584A" w:rsidRPr="008C584A" w14:paraId="6387471A" w14:textId="77777777" w:rsidTr="005155C7">
        <w:trPr>
          <w:trHeight w:val="258"/>
        </w:trPr>
        <w:tc>
          <w:tcPr>
            <w:tcW w:w="2038" w:type="dxa"/>
            <w:vAlign w:val="bottom"/>
          </w:tcPr>
          <w:p w14:paraId="79F3EC45"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Dotacje</w:t>
            </w:r>
          </w:p>
        </w:tc>
        <w:tc>
          <w:tcPr>
            <w:tcW w:w="708" w:type="dxa"/>
            <w:vAlign w:val="bottom"/>
          </w:tcPr>
          <w:p w14:paraId="1DBC1F09"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10,30</w:t>
            </w:r>
          </w:p>
        </w:tc>
        <w:tc>
          <w:tcPr>
            <w:tcW w:w="709" w:type="dxa"/>
            <w:vAlign w:val="bottom"/>
          </w:tcPr>
          <w:p w14:paraId="54FF5B6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10,62</w:t>
            </w:r>
          </w:p>
        </w:tc>
        <w:tc>
          <w:tcPr>
            <w:tcW w:w="709" w:type="dxa"/>
            <w:vAlign w:val="bottom"/>
          </w:tcPr>
          <w:p w14:paraId="63638FE2"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22,00</w:t>
            </w:r>
          </w:p>
        </w:tc>
        <w:tc>
          <w:tcPr>
            <w:tcW w:w="709" w:type="dxa"/>
            <w:vAlign w:val="bottom"/>
          </w:tcPr>
          <w:p w14:paraId="7D93B3C7"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24,85</w:t>
            </w:r>
          </w:p>
        </w:tc>
        <w:tc>
          <w:tcPr>
            <w:tcW w:w="708" w:type="dxa"/>
            <w:vAlign w:val="bottom"/>
          </w:tcPr>
          <w:p w14:paraId="2664E1F7"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23,68</w:t>
            </w:r>
          </w:p>
        </w:tc>
        <w:tc>
          <w:tcPr>
            <w:tcW w:w="709" w:type="dxa"/>
            <w:vAlign w:val="bottom"/>
          </w:tcPr>
          <w:p w14:paraId="073D803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25,92</w:t>
            </w:r>
          </w:p>
        </w:tc>
        <w:tc>
          <w:tcPr>
            <w:tcW w:w="567" w:type="dxa"/>
            <w:vAlign w:val="bottom"/>
          </w:tcPr>
          <w:p w14:paraId="5D6BD23B"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28,96</w:t>
            </w:r>
          </w:p>
        </w:tc>
        <w:tc>
          <w:tcPr>
            <w:tcW w:w="709" w:type="dxa"/>
            <w:vAlign w:val="bottom"/>
          </w:tcPr>
          <w:p w14:paraId="0C6D19F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27,41</w:t>
            </w:r>
          </w:p>
        </w:tc>
        <w:tc>
          <w:tcPr>
            <w:tcW w:w="711" w:type="dxa"/>
            <w:vAlign w:val="bottom"/>
          </w:tcPr>
          <w:p w14:paraId="508B091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25,49</w:t>
            </w:r>
          </w:p>
        </w:tc>
        <w:tc>
          <w:tcPr>
            <w:tcW w:w="848" w:type="dxa"/>
            <w:vAlign w:val="bottom"/>
          </w:tcPr>
          <w:p w14:paraId="00E81C0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15,19</w:t>
            </w:r>
          </w:p>
        </w:tc>
      </w:tr>
      <w:tr w:rsidR="008C584A" w:rsidRPr="008C584A" w14:paraId="53A93AAA" w14:textId="77777777" w:rsidTr="005155C7">
        <w:trPr>
          <w:trHeight w:val="258"/>
        </w:trPr>
        <w:tc>
          <w:tcPr>
            <w:tcW w:w="2038" w:type="dxa"/>
            <w:vAlign w:val="bottom"/>
          </w:tcPr>
          <w:p w14:paraId="57BF8A22"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Dotacje UE</w:t>
            </w:r>
          </w:p>
        </w:tc>
        <w:tc>
          <w:tcPr>
            <w:tcW w:w="708" w:type="dxa"/>
            <w:vAlign w:val="bottom"/>
          </w:tcPr>
          <w:p w14:paraId="6A232FE9"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2,98</w:t>
            </w:r>
          </w:p>
        </w:tc>
        <w:tc>
          <w:tcPr>
            <w:tcW w:w="709" w:type="dxa"/>
            <w:vAlign w:val="bottom"/>
          </w:tcPr>
          <w:p w14:paraId="62F1FD9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3,52</w:t>
            </w:r>
          </w:p>
        </w:tc>
        <w:tc>
          <w:tcPr>
            <w:tcW w:w="709" w:type="dxa"/>
            <w:vAlign w:val="bottom"/>
          </w:tcPr>
          <w:p w14:paraId="789B9FE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0,38</w:t>
            </w:r>
          </w:p>
        </w:tc>
        <w:tc>
          <w:tcPr>
            <w:tcW w:w="709" w:type="dxa"/>
            <w:vAlign w:val="bottom"/>
          </w:tcPr>
          <w:p w14:paraId="0551D396"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0,78</w:t>
            </w:r>
          </w:p>
        </w:tc>
        <w:tc>
          <w:tcPr>
            <w:tcW w:w="708" w:type="dxa"/>
            <w:vAlign w:val="bottom"/>
          </w:tcPr>
          <w:p w14:paraId="2F2EC862"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2,23</w:t>
            </w:r>
          </w:p>
        </w:tc>
        <w:tc>
          <w:tcPr>
            <w:tcW w:w="709" w:type="dxa"/>
            <w:vAlign w:val="bottom"/>
          </w:tcPr>
          <w:p w14:paraId="30CA157E"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1,67</w:t>
            </w:r>
          </w:p>
        </w:tc>
        <w:tc>
          <w:tcPr>
            <w:tcW w:w="567" w:type="dxa"/>
            <w:vAlign w:val="bottom"/>
          </w:tcPr>
          <w:p w14:paraId="53A75DF6"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0,55</w:t>
            </w:r>
          </w:p>
        </w:tc>
        <w:tc>
          <w:tcPr>
            <w:tcW w:w="709" w:type="dxa"/>
            <w:vAlign w:val="bottom"/>
          </w:tcPr>
          <w:p w14:paraId="56CC8261"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0,66</w:t>
            </w:r>
          </w:p>
        </w:tc>
        <w:tc>
          <w:tcPr>
            <w:tcW w:w="711" w:type="dxa"/>
            <w:vAlign w:val="bottom"/>
          </w:tcPr>
          <w:p w14:paraId="7EB29F2C"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2,48</w:t>
            </w:r>
          </w:p>
        </w:tc>
        <w:tc>
          <w:tcPr>
            <w:tcW w:w="848" w:type="dxa"/>
            <w:vAlign w:val="bottom"/>
          </w:tcPr>
          <w:p w14:paraId="25915651"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-0,50</w:t>
            </w:r>
          </w:p>
        </w:tc>
      </w:tr>
      <w:tr w:rsidR="008C584A" w:rsidRPr="008C584A" w14:paraId="35C85EB8" w14:textId="77777777" w:rsidTr="005155C7">
        <w:trPr>
          <w:trHeight w:val="258"/>
        </w:trPr>
        <w:tc>
          <w:tcPr>
            <w:tcW w:w="2038" w:type="dxa"/>
            <w:vAlign w:val="bottom"/>
          </w:tcPr>
          <w:p w14:paraId="1E3C7269"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Dochody ogółem</w:t>
            </w:r>
          </w:p>
        </w:tc>
        <w:tc>
          <w:tcPr>
            <w:tcW w:w="708" w:type="dxa"/>
            <w:vAlign w:val="bottom"/>
          </w:tcPr>
          <w:p w14:paraId="0FFDFA2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9" w:type="dxa"/>
            <w:vAlign w:val="bottom"/>
          </w:tcPr>
          <w:p w14:paraId="1D72024F"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9" w:type="dxa"/>
            <w:vAlign w:val="bottom"/>
          </w:tcPr>
          <w:p w14:paraId="39CF524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9" w:type="dxa"/>
            <w:vAlign w:val="bottom"/>
          </w:tcPr>
          <w:p w14:paraId="6193ABB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8" w:type="dxa"/>
            <w:vAlign w:val="bottom"/>
          </w:tcPr>
          <w:p w14:paraId="792F10A6"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9" w:type="dxa"/>
            <w:vAlign w:val="bottom"/>
          </w:tcPr>
          <w:p w14:paraId="1D9E9E9A"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567" w:type="dxa"/>
            <w:vAlign w:val="bottom"/>
          </w:tcPr>
          <w:p w14:paraId="69373BCE"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09" w:type="dxa"/>
            <w:vAlign w:val="bottom"/>
          </w:tcPr>
          <w:p w14:paraId="06FE4114"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711" w:type="dxa"/>
            <w:vAlign w:val="bottom"/>
          </w:tcPr>
          <w:p w14:paraId="63135DAD"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100,00</w:t>
            </w:r>
          </w:p>
        </w:tc>
        <w:tc>
          <w:tcPr>
            <w:tcW w:w="848" w:type="dxa"/>
            <w:vAlign w:val="bottom"/>
          </w:tcPr>
          <w:p w14:paraId="78FDA5A3" w14:textId="77777777" w:rsidR="008C584A" w:rsidRPr="008C584A" w:rsidRDefault="008C584A" w:rsidP="008C584A">
            <w:pPr>
              <w:spacing w:after="0" w:line="240" w:lineRule="auto"/>
              <w:jc w:val="right"/>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0</w:t>
            </w:r>
          </w:p>
        </w:tc>
      </w:tr>
    </w:tbl>
    <w:p w14:paraId="62E68019" w14:textId="77777777" w:rsidR="008C584A" w:rsidRPr="00EB41D2" w:rsidRDefault="008C584A" w:rsidP="008C584A">
      <w:pPr>
        <w:spacing w:after="0" w:line="240" w:lineRule="auto"/>
        <w:jc w:val="both"/>
        <w:rPr>
          <w:rFonts w:ascii="Times New Roman" w:eastAsia="Times New Roman" w:hAnsi="Times New Roman" w:cs="Times New Roman"/>
          <w:sz w:val="24"/>
          <w:szCs w:val="24"/>
          <w:lang w:eastAsia="pl-PL"/>
        </w:rPr>
      </w:pPr>
      <w:r w:rsidRPr="00EB41D2">
        <w:rPr>
          <w:rFonts w:ascii="Times New Roman" w:eastAsia="Times New Roman" w:hAnsi="Times New Roman" w:cs="Times New Roman"/>
          <w:sz w:val="24"/>
          <w:szCs w:val="24"/>
          <w:lang w:eastAsia="pl-PL"/>
        </w:rPr>
        <w:t>Źródło: opracowanie własne na podstawie danych GUS i sprawozdań budżetowych Gminy Góra Kalwaria</w:t>
      </w:r>
    </w:p>
    <w:p w14:paraId="3FCD3552" w14:textId="77777777" w:rsidR="008C584A" w:rsidRPr="00EB41D2" w:rsidRDefault="008C584A" w:rsidP="008C584A">
      <w:pPr>
        <w:spacing w:after="0" w:line="360" w:lineRule="auto"/>
        <w:ind w:firstLine="357"/>
        <w:jc w:val="both"/>
        <w:rPr>
          <w:rFonts w:ascii="Times New Roman" w:eastAsia="Times New Roman" w:hAnsi="Times New Roman" w:cs="Times New Roman"/>
          <w:i/>
          <w:iCs/>
          <w:sz w:val="24"/>
          <w:szCs w:val="24"/>
          <w:lang w:eastAsia="pl-PL"/>
        </w:rPr>
      </w:pPr>
    </w:p>
    <w:p w14:paraId="3E835664" w14:textId="77777777" w:rsidR="008C584A" w:rsidRPr="008C584A" w:rsidRDefault="008C584A" w:rsidP="00F84B57">
      <w:pPr>
        <w:shd w:val="clear" w:color="auto" w:fill="FFFFFF"/>
        <w:spacing w:after="0" w:line="276" w:lineRule="auto"/>
        <w:ind w:left="17" w:right="45" w:firstLine="380"/>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Głównym źródłem wpływów gminy są lokalne dochody własne stanowiące w 2022 r. 32,5% ogółu dochodów budżetowych. Drugą grupę dochodów stanowią dotacje celowe, z </w:t>
      </w:r>
      <w:r w:rsidRPr="008C584A">
        <w:rPr>
          <w:rFonts w:ascii="Times New Roman" w:eastAsia="Times New Roman" w:hAnsi="Times New Roman" w:cs="Times New Roman"/>
          <w:sz w:val="24"/>
          <w:szCs w:val="24"/>
          <w:lang w:eastAsia="pl-PL"/>
        </w:rPr>
        <w:lastRenderedPageBreak/>
        <w:t xml:space="preserve">udziałem w dochodach ogółem na poziomie 25,5%, a trzecią  udziały w podatkach budżetu państwa (PIT i CIT - 23,2%). Nieco niższy udział mają subwencja ogólna (16,3%) oraz dotacje unijne (2,5%). </w:t>
      </w:r>
    </w:p>
    <w:p w14:paraId="4F961EBB" w14:textId="3904E82B" w:rsidR="008C584A" w:rsidRDefault="008C584A" w:rsidP="00F84B57">
      <w:pPr>
        <w:shd w:val="clear" w:color="auto" w:fill="FFFFFF"/>
        <w:spacing w:after="0" w:line="276" w:lineRule="auto"/>
        <w:ind w:left="17" w:right="45" w:firstLine="380"/>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Analiza danych historycznych pozwala sformułować wniosek, że istniejący własny potencjał finansowy gminy Góra Kalwaria jest wystarczający do realizacji zarówno zadań bieżących, jak i inwestycyjnych. Gmina jest także w stanie zapewnić wkład własny w procesie współfinansowania projektów unijnych.  </w:t>
      </w:r>
    </w:p>
    <w:p w14:paraId="0C4B8FDE" w14:textId="77777777" w:rsidR="00F84B57" w:rsidRPr="008C584A" w:rsidRDefault="00F84B57" w:rsidP="00F84B57">
      <w:pPr>
        <w:shd w:val="clear" w:color="auto" w:fill="FFFFFF"/>
        <w:spacing w:after="0" w:line="276" w:lineRule="auto"/>
        <w:ind w:left="17" w:right="45" w:firstLine="380"/>
        <w:jc w:val="both"/>
        <w:rPr>
          <w:rFonts w:ascii="Times New Roman" w:eastAsia="Times New Roman" w:hAnsi="Times New Roman" w:cs="Times New Roman"/>
          <w:sz w:val="24"/>
          <w:szCs w:val="24"/>
          <w:lang w:eastAsia="pl-PL"/>
        </w:rPr>
      </w:pPr>
    </w:p>
    <w:p w14:paraId="4D25D50F" w14:textId="12CE432D" w:rsidR="008C584A" w:rsidRPr="008C584A" w:rsidRDefault="008C584A" w:rsidP="008C584A">
      <w:pPr>
        <w:tabs>
          <w:tab w:val="left" w:pos="0"/>
          <w:tab w:val="left" w:pos="1152"/>
        </w:tabs>
        <w:spacing w:after="0" w:line="312" w:lineRule="auto"/>
        <w:jc w:val="both"/>
        <w:rPr>
          <w:rFonts w:ascii="Times New Roman" w:eastAsia="Times New Roman" w:hAnsi="Times New Roman" w:cs="Times New Roman"/>
          <w:sz w:val="24"/>
          <w:szCs w:val="20"/>
          <w:lang w:eastAsia="pl-PL"/>
        </w:rPr>
      </w:pPr>
      <w:bookmarkStart w:id="47" w:name="_Hlk119636370"/>
      <w:r w:rsidRPr="008C584A">
        <w:rPr>
          <w:rFonts w:ascii="Times New Roman" w:eastAsia="Times New Roman" w:hAnsi="Times New Roman" w:cs="Times New Roman"/>
          <w:sz w:val="24"/>
          <w:szCs w:val="20"/>
          <w:lang w:eastAsia="pl-PL"/>
        </w:rPr>
        <w:t>R</w:t>
      </w:r>
      <w:r w:rsidR="003B6DC7">
        <w:rPr>
          <w:rFonts w:ascii="Times New Roman" w:eastAsia="Times New Roman" w:hAnsi="Times New Roman" w:cs="Times New Roman"/>
          <w:sz w:val="24"/>
          <w:szCs w:val="20"/>
          <w:lang w:eastAsia="pl-PL"/>
        </w:rPr>
        <w:t>yc.</w:t>
      </w:r>
      <w:r w:rsidRPr="008C584A">
        <w:rPr>
          <w:rFonts w:ascii="Times New Roman" w:eastAsia="Times New Roman" w:hAnsi="Times New Roman" w:cs="Times New Roman"/>
          <w:sz w:val="24"/>
          <w:szCs w:val="20"/>
          <w:lang w:eastAsia="pl-PL"/>
        </w:rPr>
        <w:t xml:space="preserve"> </w:t>
      </w:r>
      <w:r w:rsidR="003B6DC7">
        <w:rPr>
          <w:rFonts w:ascii="Times New Roman" w:eastAsia="Times New Roman" w:hAnsi="Times New Roman" w:cs="Times New Roman"/>
          <w:sz w:val="24"/>
          <w:szCs w:val="20"/>
          <w:lang w:eastAsia="pl-PL"/>
        </w:rPr>
        <w:t>7</w:t>
      </w:r>
      <w:r w:rsidR="00F84B57">
        <w:rPr>
          <w:rFonts w:ascii="Times New Roman" w:eastAsia="Times New Roman" w:hAnsi="Times New Roman" w:cs="Times New Roman"/>
          <w:sz w:val="24"/>
          <w:szCs w:val="20"/>
          <w:lang w:eastAsia="pl-PL"/>
        </w:rPr>
        <w:t>.</w:t>
      </w:r>
      <w:r w:rsidRPr="008C584A">
        <w:rPr>
          <w:rFonts w:ascii="Times New Roman" w:eastAsia="Times New Roman" w:hAnsi="Times New Roman" w:cs="Times New Roman"/>
          <w:i/>
          <w:iCs/>
          <w:sz w:val="24"/>
          <w:szCs w:val="20"/>
          <w:lang w:eastAsia="pl-PL"/>
        </w:rPr>
        <w:t xml:space="preserve"> </w:t>
      </w:r>
      <w:r w:rsidRPr="008C584A">
        <w:rPr>
          <w:rFonts w:ascii="Times New Roman" w:eastAsia="Times New Roman" w:hAnsi="Times New Roman" w:cs="Times New Roman"/>
          <w:sz w:val="24"/>
          <w:szCs w:val="20"/>
          <w:lang w:eastAsia="pl-PL"/>
        </w:rPr>
        <w:t>Struktura dochodów gminy Góra Kalwaria w latach 2012-2020 w %.</w:t>
      </w:r>
    </w:p>
    <w:bookmarkEnd w:id="47"/>
    <w:p w14:paraId="3F6B7438" w14:textId="77777777" w:rsidR="008C584A" w:rsidRPr="008C584A" w:rsidRDefault="008C584A" w:rsidP="008C584A">
      <w:pPr>
        <w:tabs>
          <w:tab w:val="left" w:pos="0"/>
          <w:tab w:val="left" w:pos="1152"/>
        </w:tabs>
        <w:spacing w:after="0" w:line="240" w:lineRule="auto"/>
        <w:jc w:val="both"/>
        <w:rPr>
          <w:rFonts w:ascii="Times New Roman" w:eastAsia="Times New Roman" w:hAnsi="Times New Roman" w:cs="Times New Roman"/>
          <w:i/>
          <w:iCs/>
          <w:sz w:val="24"/>
          <w:szCs w:val="20"/>
          <w:lang w:eastAsia="pl-PL"/>
        </w:rPr>
      </w:pPr>
    </w:p>
    <w:p w14:paraId="18566508" w14:textId="77777777" w:rsidR="008C584A" w:rsidRPr="008C584A" w:rsidRDefault="008C584A" w:rsidP="008C584A">
      <w:pPr>
        <w:tabs>
          <w:tab w:val="left" w:pos="0"/>
          <w:tab w:val="left" w:pos="1152"/>
        </w:tabs>
        <w:spacing w:after="0" w:line="240" w:lineRule="auto"/>
        <w:jc w:val="both"/>
        <w:rPr>
          <w:rFonts w:ascii="Times New Roman" w:eastAsia="Times New Roman" w:hAnsi="Times New Roman" w:cs="Times New Roman"/>
          <w:i/>
          <w:iCs/>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409E5882" wp14:editId="15B64979">
            <wp:extent cx="5757863" cy="2743200"/>
            <wp:effectExtent l="0" t="0" r="14605" b="0"/>
            <wp:docPr id="16" name="Wykres 16">
              <a:extLst xmlns:a="http://schemas.openxmlformats.org/drawingml/2006/main">
                <a:ext uri="{FF2B5EF4-FFF2-40B4-BE49-F238E27FC236}">
                  <a16:creationId xmlns:a16="http://schemas.microsoft.com/office/drawing/2014/main" id="{9E6B3F3A-0A1B-769A-A852-BC647580D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56EB1D5" w14:textId="77777777" w:rsidR="008C584A" w:rsidRPr="008C584A" w:rsidRDefault="008C584A" w:rsidP="008C584A">
      <w:pPr>
        <w:tabs>
          <w:tab w:val="left" w:pos="0"/>
          <w:tab w:val="left" w:pos="1152"/>
        </w:tabs>
        <w:spacing w:after="0" w:line="240" w:lineRule="auto"/>
        <w:jc w:val="right"/>
        <w:rPr>
          <w:rFonts w:ascii="Times New Roman" w:eastAsia="Times New Roman" w:hAnsi="Times New Roman" w:cs="Times New Roman"/>
          <w:i/>
          <w:iCs/>
          <w:sz w:val="24"/>
          <w:szCs w:val="20"/>
          <w:lang w:eastAsia="pl-PL"/>
        </w:rPr>
      </w:pPr>
    </w:p>
    <w:p w14:paraId="42A90E9F" w14:textId="77777777" w:rsidR="008C584A" w:rsidRPr="00EB41D2" w:rsidRDefault="008C584A" w:rsidP="00EB41D2">
      <w:pPr>
        <w:spacing w:after="0" w:line="240" w:lineRule="auto"/>
        <w:rPr>
          <w:rFonts w:ascii="Times New Roman" w:eastAsia="Times New Roman" w:hAnsi="Times New Roman" w:cs="Times New Roman"/>
          <w:sz w:val="24"/>
          <w:szCs w:val="24"/>
          <w:lang w:eastAsia="pl-PL"/>
        </w:rPr>
      </w:pPr>
      <w:r w:rsidRPr="00EB41D2">
        <w:rPr>
          <w:rFonts w:ascii="Times New Roman" w:eastAsia="Times New Roman" w:hAnsi="Times New Roman" w:cs="Times New Roman"/>
          <w:sz w:val="24"/>
          <w:szCs w:val="24"/>
          <w:lang w:eastAsia="pl-PL"/>
        </w:rPr>
        <w:t>Źródło: rysunek autorów na podstawie danych GUS i sprawozdań budżetowych Gminy Góra Kalwaria</w:t>
      </w:r>
    </w:p>
    <w:p w14:paraId="6AA2C639" w14:textId="77777777" w:rsidR="008C584A" w:rsidRPr="008C584A" w:rsidRDefault="008C584A" w:rsidP="008C584A">
      <w:pPr>
        <w:tabs>
          <w:tab w:val="left" w:pos="0"/>
          <w:tab w:val="left" w:pos="1152"/>
        </w:tabs>
        <w:spacing w:after="0" w:line="240" w:lineRule="auto"/>
        <w:rPr>
          <w:rFonts w:ascii="Times New Roman" w:eastAsia="Times New Roman" w:hAnsi="Times New Roman" w:cs="Times New Roman"/>
          <w:i/>
          <w:iCs/>
          <w:sz w:val="24"/>
          <w:szCs w:val="20"/>
          <w:lang w:eastAsia="pl-PL"/>
        </w:rPr>
      </w:pPr>
    </w:p>
    <w:p w14:paraId="019B5818" w14:textId="77777777" w:rsidR="008C584A" w:rsidRP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 latach 2014-2022 wielkość lokalnych dochodów własnych wzrosła nominalnie z 34,6 mln zł do 38,6</w:t>
      </w:r>
      <w:r w:rsidRPr="008C584A">
        <w:rPr>
          <w:rFonts w:ascii="Times New Roman" w:eastAsia="Times New Roman" w:hAnsi="Times New Roman" w:cs="Times New Roman"/>
          <w:snapToGrid w:val="0"/>
          <w:color w:val="000000"/>
          <w:sz w:val="24"/>
          <w:szCs w:val="24"/>
          <w:lang w:eastAsia="pl-PL"/>
        </w:rPr>
        <w:t xml:space="preserve"> mln zł w 2018 r. i 54,7 mln zł w 2022 r. W wartościach realnych zwiększyły się one odpowiednio z 29,6 mln zł, przez 35,9 mln</w:t>
      </w:r>
      <w:r w:rsidRPr="008C584A">
        <w:rPr>
          <w:rFonts w:ascii="Times New Roman" w:eastAsia="Times New Roman" w:hAnsi="Times New Roman" w:cs="Times New Roman"/>
          <w:color w:val="000000"/>
          <w:sz w:val="24"/>
          <w:szCs w:val="24"/>
          <w:lang w:eastAsia="pl-PL"/>
        </w:rPr>
        <w:t xml:space="preserve"> zł do </w:t>
      </w:r>
      <w:r w:rsidRPr="008C584A">
        <w:rPr>
          <w:rFonts w:ascii="Times New Roman" w:eastAsia="Times New Roman" w:hAnsi="Times New Roman" w:cs="Times New Roman"/>
          <w:snapToGrid w:val="0"/>
          <w:color w:val="000000"/>
          <w:sz w:val="24"/>
          <w:szCs w:val="24"/>
          <w:lang w:eastAsia="pl-PL"/>
        </w:rPr>
        <w:t>60,7 mln zł.</w:t>
      </w:r>
      <w:r w:rsidRPr="008C584A">
        <w:rPr>
          <w:rFonts w:ascii="Times New Roman" w:eastAsia="Times New Roman" w:hAnsi="Times New Roman" w:cs="Times New Roman"/>
          <w:sz w:val="24"/>
          <w:szCs w:val="24"/>
          <w:lang w:eastAsia="pl-PL"/>
        </w:rPr>
        <w:t xml:space="preserve"> Wysoka dynamika zmian jest korzystna, oznacza wzrost samodzielności finansowej gminy. </w:t>
      </w:r>
    </w:p>
    <w:p w14:paraId="3F8F4CF6" w14:textId="1FEA882C" w:rsidR="008C584A" w:rsidRP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pacing w:val="-3"/>
          <w:sz w:val="24"/>
          <w:szCs w:val="24"/>
          <w:lang w:eastAsia="pl-PL"/>
        </w:rPr>
        <w:t xml:space="preserve">Głównym źródłem wpływów </w:t>
      </w:r>
      <w:r w:rsidRPr="008C584A">
        <w:rPr>
          <w:rFonts w:ascii="Times New Roman" w:eastAsia="Times New Roman" w:hAnsi="Times New Roman" w:cs="Times New Roman"/>
          <w:sz w:val="24"/>
          <w:szCs w:val="24"/>
          <w:lang w:eastAsia="pl-PL"/>
        </w:rPr>
        <w:t>lokalnych dochodów własnych jest</w:t>
      </w:r>
      <w:r w:rsidRPr="008C584A">
        <w:rPr>
          <w:rFonts w:ascii="Times New Roman" w:eastAsia="Times New Roman" w:hAnsi="Times New Roman" w:cs="Times New Roman"/>
          <w:spacing w:val="-3"/>
          <w:sz w:val="24"/>
          <w:szCs w:val="24"/>
          <w:lang w:eastAsia="pl-PL"/>
        </w:rPr>
        <w:t xml:space="preserve"> podatek od nieruchomości. W 2022 r wpływy z tego tytułu wynoszą 23,8 mln zł.</w:t>
      </w:r>
      <w:r w:rsidRPr="008C584A">
        <w:rPr>
          <w:rFonts w:ascii="Times New Roman" w:eastAsia="Times New Roman" w:hAnsi="Times New Roman" w:cs="Times New Roman"/>
          <w:i/>
          <w:iCs/>
          <w:spacing w:val="-3"/>
          <w:sz w:val="24"/>
          <w:szCs w:val="24"/>
          <w:lang w:eastAsia="pl-PL"/>
        </w:rPr>
        <w:t xml:space="preserve"> </w:t>
      </w:r>
      <w:r w:rsidRPr="008C584A">
        <w:rPr>
          <w:rFonts w:ascii="Times New Roman" w:eastAsia="Times New Roman" w:hAnsi="Times New Roman" w:cs="Times New Roman"/>
          <w:spacing w:val="-3"/>
          <w:sz w:val="24"/>
          <w:szCs w:val="24"/>
          <w:lang w:eastAsia="pl-PL"/>
        </w:rPr>
        <w:t xml:space="preserve">Duże znaczenie mają także dochody z majątku gminy  (8,2 mln zł), nieco mniejsze podatek od czynności cywilno-prawnych (2,3 mln zł.), podatek od środków transportu (1,0 mln zł) oraz zsumowane wartości z podatku rolnego i leśnego (1,0 mln zł). </w:t>
      </w:r>
      <w:r w:rsidRPr="008C584A">
        <w:rPr>
          <w:rFonts w:ascii="Times New Roman" w:eastAsia="Times New Roman" w:hAnsi="Times New Roman" w:cs="Times New Roman"/>
          <w:sz w:val="24"/>
          <w:szCs w:val="24"/>
          <w:lang w:eastAsia="pl-PL"/>
        </w:rPr>
        <w:t xml:space="preserve">Strukturę lokalnych dochodów własnych w latach 2014-2022 obrazuje tabela </w:t>
      </w:r>
      <w:r w:rsidR="00926698">
        <w:rPr>
          <w:rFonts w:ascii="Times New Roman" w:eastAsia="Times New Roman" w:hAnsi="Times New Roman" w:cs="Times New Roman"/>
          <w:sz w:val="24"/>
          <w:szCs w:val="24"/>
          <w:lang w:eastAsia="pl-PL"/>
        </w:rPr>
        <w:t>9</w:t>
      </w:r>
      <w:r w:rsidRPr="008C584A">
        <w:rPr>
          <w:rFonts w:ascii="Times New Roman" w:eastAsia="Times New Roman" w:hAnsi="Times New Roman" w:cs="Times New Roman"/>
          <w:sz w:val="24"/>
          <w:szCs w:val="24"/>
          <w:lang w:eastAsia="pl-PL"/>
        </w:rPr>
        <w:t>.</w:t>
      </w:r>
    </w:p>
    <w:p w14:paraId="778854B4" w14:textId="77777777" w:rsidR="008C584A" w:rsidRPr="008C584A" w:rsidRDefault="008C584A" w:rsidP="008C584A">
      <w:pPr>
        <w:spacing w:after="0" w:line="240" w:lineRule="auto"/>
        <w:jc w:val="both"/>
        <w:rPr>
          <w:rFonts w:ascii="Times New Roman" w:eastAsia="Times New Roman" w:hAnsi="Times New Roman" w:cs="Times New Roman"/>
          <w:spacing w:val="-3"/>
          <w:sz w:val="24"/>
          <w:szCs w:val="24"/>
          <w:lang w:eastAsia="pl-PL"/>
        </w:rPr>
      </w:pPr>
      <w:r w:rsidRPr="008C584A">
        <w:rPr>
          <w:rFonts w:ascii="Times New Roman" w:eastAsia="Times New Roman" w:hAnsi="Times New Roman" w:cs="Times New Roman"/>
          <w:spacing w:val="-3"/>
          <w:sz w:val="24"/>
          <w:szCs w:val="24"/>
          <w:lang w:eastAsia="pl-PL"/>
        </w:rPr>
        <w:t xml:space="preserve">  </w:t>
      </w:r>
    </w:p>
    <w:p w14:paraId="442672CE" w14:textId="7BC1282F" w:rsidR="008C584A" w:rsidRPr="008C584A" w:rsidRDefault="008C584A" w:rsidP="008C584A">
      <w:pPr>
        <w:spacing w:after="0" w:line="240" w:lineRule="auto"/>
        <w:jc w:val="both"/>
        <w:rPr>
          <w:rFonts w:ascii="Times New Roman" w:eastAsia="Times New Roman" w:hAnsi="Times New Roman" w:cs="Times New Roman"/>
          <w:spacing w:val="-3"/>
          <w:sz w:val="24"/>
          <w:szCs w:val="24"/>
          <w:lang w:eastAsia="pl-PL"/>
        </w:rPr>
      </w:pPr>
      <w:bookmarkStart w:id="48" w:name="_Hlk119636408"/>
      <w:r w:rsidRPr="008C584A">
        <w:rPr>
          <w:rFonts w:ascii="Times New Roman" w:eastAsia="Times New Roman" w:hAnsi="Times New Roman" w:cs="Times New Roman"/>
          <w:spacing w:val="-3"/>
          <w:sz w:val="24"/>
          <w:szCs w:val="24"/>
          <w:lang w:eastAsia="pl-PL"/>
        </w:rPr>
        <w:t xml:space="preserve">Tabela </w:t>
      </w:r>
      <w:r w:rsidR="00926698">
        <w:rPr>
          <w:rFonts w:ascii="Times New Roman" w:eastAsia="Times New Roman" w:hAnsi="Times New Roman" w:cs="Times New Roman"/>
          <w:spacing w:val="-3"/>
          <w:sz w:val="24"/>
          <w:szCs w:val="24"/>
          <w:lang w:eastAsia="pl-PL"/>
        </w:rPr>
        <w:t>9</w:t>
      </w:r>
      <w:r w:rsidRPr="008C584A">
        <w:rPr>
          <w:rFonts w:ascii="Times New Roman" w:eastAsia="Times New Roman" w:hAnsi="Times New Roman" w:cs="Times New Roman"/>
          <w:spacing w:val="-3"/>
          <w:sz w:val="24"/>
          <w:szCs w:val="24"/>
          <w:lang w:eastAsia="pl-PL"/>
        </w:rPr>
        <w:t xml:space="preserve"> Lokalne dochody własne gminy Góra Kalwaria w latach 2014-2022 (wybrane</w:t>
      </w:r>
      <w:bookmarkEnd w:id="48"/>
      <w:r w:rsidRPr="008C584A">
        <w:rPr>
          <w:rFonts w:ascii="Times New Roman" w:eastAsia="Times New Roman" w:hAnsi="Times New Roman" w:cs="Times New Roman"/>
          <w:spacing w:val="-3"/>
          <w:sz w:val="24"/>
          <w:szCs w:val="24"/>
          <w:lang w:eastAsia="pl-PL"/>
        </w:rPr>
        <w:t>)</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81"/>
        <w:gridCol w:w="844"/>
        <w:gridCol w:w="991"/>
        <w:gridCol w:w="851"/>
        <w:gridCol w:w="991"/>
        <w:gridCol w:w="991"/>
        <w:gridCol w:w="849"/>
        <w:gridCol w:w="851"/>
        <w:gridCol w:w="851"/>
        <w:gridCol w:w="709"/>
      </w:tblGrid>
      <w:tr w:rsidR="00A17EB1" w:rsidRPr="008C584A" w14:paraId="574F00DC" w14:textId="77777777" w:rsidTr="005155C7">
        <w:trPr>
          <w:trHeight w:val="255"/>
          <w:tblHeader/>
        </w:trPr>
        <w:tc>
          <w:tcPr>
            <w:tcW w:w="696" w:type="pct"/>
            <w:shd w:val="clear" w:color="auto" w:fill="D9E2F3" w:themeFill="accent1" w:themeFillTint="33"/>
            <w:vAlign w:val="bottom"/>
          </w:tcPr>
          <w:p w14:paraId="120F1497" w14:textId="669097F2"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Wyszczególnienie</w:t>
            </w:r>
          </w:p>
        </w:tc>
        <w:tc>
          <w:tcPr>
            <w:tcW w:w="458" w:type="pct"/>
            <w:shd w:val="clear" w:color="auto" w:fill="D9E2F3" w:themeFill="accent1" w:themeFillTint="33"/>
            <w:vAlign w:val="bottom"/>
          </w:tcPr>
          <w:p w14:paraId="6795B0D5"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2014</w:t>
            </w:r>
          </w:p>
        </w:tc>
        <w:tc>
          <w:tcPr>
            <w:tcW w:w="538" w:type="pct"/>
            <w:shd w:val="clear" w:color="auto" w:fill="D9E2F3" w:themeFill="accent1" w:themeFillTint="33"/>
            <w:vAlign w:val="bottom"/>
          </w:tcPr>
          <w:p w14:paraId="74ADBC42"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2015</w:t>
            </w:r>
          </w:p>
        </w:tc>
        <w:tc>
          <w:tcPr>
            <w:tcW w:w="462" w:type="pct"/>
            <w:shd w:val="clear" w:color="auto" w:fill="D9E2F3" w:themeFill="accent1" w:themeFillTint="33"/>
            <w:vAlign w:val="bottom"/>
          </w:tcPr>
          <w:p w14:paraId="481C2ADC"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2016</w:t>
            </w:r>
          </w:p>
        </w:tc>
        <w:tc>
          <w:tcPr>
            <w:tcW w:w="538" w:type="pct"/>
            <w:shd w:val="clear" w:color="auto" w:fill="D9E2F3" w:themeFill="accent1" w:themeFillTint="33"/>
            <w:vAlign w:val="bottom"/>
          </w:tcPr>
          <w:p w14:paraId="7BA50F90"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0652F8C2"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2017</w:t>
            </w:r>
          </w:p>
        </w:tc>
        <w:tc>
          <w:tcPr>
            <w:tcW w:w="538" w:type="pct"/>
            <w:shd w:val="clear" w:color="auto" w:fill="D9E2F3" w:themeFill="accent1" w:themeFillTint="33"/>
            <w:vAlign w:val="bottom"/>
          </w:tcPr>
          <w:p w14:paraId="381DDE41"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6CE42ACB"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2018</w:t>
            </w:r>
          </w:p>
        </w:tc>
        <w:tc>
          <w:tcPr>
            <w:tcW w:w="461" w:type="pct"/>
            <w:shd w:val="clear" w:color="auto" w:fill="D9E2F3" w:themeFill="accent1" w:themeFillTint="33"/>
            <w:vAlign w:val="bottom"/>
          </w:tcPr>
          <w:p w14:paraId="084A9D05"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31767241"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2019</w:t>
            </w:r>
          </w:p>
        </w:tc>
        <w:tc>
          <w:tcPr>
            <w:tcW w:w="462" w:type="pct"/>
            <w:shd w:val="clear" w:color="auto" w:fill="D9E2F3" w:themeFill="accent1" w:themeFillTint="33"/>
            <w:vAlign w:val="bottom"/>
          </w:tcPr>
          <w:p w14:paraId="2809EC40"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1FB9156A"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2020</w:t>
            </w:r>
          </w:p>
        </w:tc>
        <w:tc>
          <w:tcPr>
            <w:tcW w:w="462" w:type="pct"/>
            <w:shd w:val="clear" w:color="auto" w:fill="D9E2F3" w:themeFill="accent1" w:themeFillTint="33"/>
            <w:vAlign w:val="bottom"/>
          </w:tcPr>
          <w:p w14:paraId="1A7745E6"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6CC1397B"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2021</w:t>
            </w:r>
          </w:p>
        </w:tc>
        <w:tc>
          <w:tcPr>
            <w:tcW w:w="385" w:type="pct"/>
            <w:shd w:val="clear" w:color="auto" w:fill="D9E2F3" w:themeFill="accent1" w:themeFillTint="33"/>
            <w:vAlign w:val="bottom"/>
          </w:tcPr>
          <w:p w14:paraId="4BC714FA" w14:textId="77777777" w:rsidR="008C584A" w:rsidRPr="008C584A" w:rsidRDefault="008C584A" w:rsidP="008C584A">
            <w:pPr>
              <w:spacing w:after="0" w:line="240" w:lineRule="auto"/>
              <w:jc w:val="center"/>
              <w:rPr>
                <w:rFonts w:ascii="Times New Roman" w:eastAsia="Times New Roman" w:hAnsi="Times New Roman" w:cs="Times New Roman"/>
                <w:color w:val="000000"/>
                <w:sz w:val="18"/>
                <w:szCs w:val="18"/>
                <w:lang w:eastAsia="pl-PL"/>
              </w:rPr>
            </w:pPr>
          </w:p>
          <w:p w14:paraId="2F7C86E0"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 xml:space="preserve">     2022</w:t>
            </w:r>
          </w:p>
        </w:tc>
      </w:tr>
      <w:tr w:rsidR="00A17EB1" w:rsidRPr="008C584A" w14:paraId="716CB4D5" w14:textId="77777777" w:rsidTr="00A17EB1">
        <w:trPr>
          <w:trHeight w:val="380"/>
        </w:trPr>
        <w:tc>
          <w:tcPr>
            <w:tcW w:w="696" w:type="pct"/>
          </w:tcPr>
          <w:p w14:paraId="0CE0EEB0"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Dochody z majątku</w:t>
            </w:r>
          </w:p>
        </w:tc>
        <w:tc>
          <w:tcPr>
            <w:tcW w:w="458" w:type="pct"/>
            <w:vAlign w:val="bottom"/>
          </w:tcPr>
          <w:p w14:paraId="2C318598"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color w:val="000000"/>
                <w:sz w:val="16"/>
                <w:szCs w:val="16"/>
                <w:lang w:eastAsia="pl-PL"/>
              </w:rPr>
              <w:t>7 238 951</w:t>
            </w:r>
          </w:p>
        </w:tc>
        <w:tc>
          <w:tcPr>
            <w:tcW w:w="538" w:type="pct"/>
            <w:vAlign w:val="bottom"/>
          </w:tcPr>
          <w:p w14:paraId="02DEDFC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7 484 026</w:t>
            </w:r>
          </w:p>
        </w:tc>
        <w:tc>
          <w:tcPr>
            <w:tcW w:w="462" w:type="pct"/>
            <w:vAlign w:val="bottom"/>
          </w:tcPr>
          <w:p w14:paraId="3B3B9AA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5 338 479</w:t>
            </w:r>
          </w:p>
        </w:tc>
        <w:tc>
          <w:tcPr>
            <w:tcW w:w="538" w:type="pct"/>
            <w:vAlign w:val="bottom"/>
          </w:tcPr>
          <w:p w14:paraId="78A9C054"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5 306 465</w:t>
            </w:r>
          </w:p>
        </w:tc>
        <w:tc>
          <w:tcPr>
            <w:tcW w:w="538" w:type="pct"/>
            <w:shd w:val="clear" w:color="auto" w:fill="FFFFFF"/>
            <w:noWrap/>
            <w:vAlign w:val="bottom"/>
          </w:tcPr>
          <w:p w14:paraId="2344536C"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3 567 806</w:t>
            </w:r>
          </w:p>
        </w:tc>
        <w:tc>
          <w:tcPr>
            <w:tcW w:w="461" w:type="pct"/>
            <w:shd w:val="clear" w:color="auto" w:fill="FFFFFF"/>
            <w:noWrap/>
            <w:vAlign w:val="bottom"/>
          </w:tcPr>
          <w:p w14:paraId="0F412849"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5 417 979</w:t>
            </w:r>
          </w:p>
        </w:tc>
        <w:tc>
          <w:tcPr>
            <w:tcW w:w="462" w:type="pct"/>
            <w:shd w:val="clear" w:color="auto" w:fill="FFFFFF"/>
            <w:noWrap/>
            <w:vAlign w:val="bottom"/>
          </w:tcPr>
          <w:p w14:paraId="51B32806"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10 895 058</w:t>
            </w:r>
          </w:p>
        </w:tc>
        <w:tc>
          <w:tcPr>
            <w:tcW w:w="462" w:type="pct"/>
            <w:shd w:val="clear" w:color="auto" w:fill="FFFFFF"/>
            <w:noWrap/>
            <w:vAlign w:val="bottom"/>
          </w:tcPr>
          <w:p w14:paraId="61134E29"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5 125 117</w:t>
            </w:r>
          </w:p>
        </w:tc>
        <w:tc>
          <w:tcPr>
            <w:tcW w:w="385" w:type="pct"/>
            <w:shd w:val="clear" w:color="auto" w:fill="FFFFFF"/>
            <w:vAlign w:val="bottom"/>
          </w:tcPr>
          <w:p w14:paraId="3CAA6EE2"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8 186 630</w:t>
            </w:r>
          </w:p>
        </w:tc>
      </w:tr>
      <w:tr w:rsidR="00A17EB1" w:rsidRPr="008C584A" w14:paraId="1C97CD5D" w14:textId="77777777" w:rsidTr="00A17EB1">
        <w:trPr>
          <w:trHeight w:val="345"/>
        </w:trPr>
        <w:tc>
          <w:tcPr>
            <w:tcW w:w="696" w:type="pct"/>
          </w:tcPr>
          <w:p w14:paraId="72623C52"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Podatek od nieruchomości</w:t>
            </w:r>
          </w:p>
        </w:tc>
        <w:tc>
          <w:tcPr>
            <w:tcW w:w="458" w:type="pct"/>
            <w:vAlign w:val="bottom"/>
          </w:tcPr>
          <w:p w14:paraId="3DB11A3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15 982 530</w:t>
            </w:r>
          </w:p>
        </w:tc>
        <w:tc>
          <w:tcPr>
            <w:tcW w:w="538" w:type="pct"/>
            <w:vAlign w:val="bottom"/>
          </w:tcPr>
          <w:p w14:paraId="4E467BC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17 399 631</w:t>
            </w:r>
          </w:p>
        </w:tc>
        <w:tc>
          <w:tcPr>
            <w:tcW w:w="462" w:type="pct"/>
            <w:vAlign w:val="bottom"/>
          </w:tcPr>
          <w:p w14:paraId="0107610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17 356 594</w:t>
            </w:r>
          </w:p>
        </w:tc>
        <w:tc>
          <w:tcPr>
            <w:tcW w:w="538" w:type="pct"/>
            <w:vAlign w:val="bottom"/>
          </w:tcPr>
          <w:p w14:paraId="13230ECF"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17 547 537</w:t>
            </w:r>
          </w:p>
        </w:tc>
        <w:tc>
          <w:tcPr>
            <w:tcW w:w="538" w:type="pct"/>
            <w:noWrap/>
            <w:vAlign w:val="bottom"/>
          </w:tcPr>
          <w:p w14:paraId="42FBE1EF"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18 439 863</w:t>
            </w:r>
          </w:p>
        </w:tc>
        <w:tc>
          <w:tcPr>
            <w:tcW w:w="461" w:type="pct"/>
            <w:noWrap/>
            <w:vAlign w:val="bottom"/>
          </w:tcPr>
          <w:p w14:paraId="54175EC9"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19 339 473</w:t>
            </w:r>
          </w:p>
        </w:tc>
        <w:tc>
          <w:tcPr>
            <w:tcW w:w="462" w:type="pct"/>
            <w:noWrap/>
            <w:vAlign w:val="bottom"/>
          </w:tcPr>
          <w:p w14:paraId="1F9C15CB"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21 444 550</w:t>
            </w:r>
          </w:p>
        </w:tc>
        <w:tc>
          <w:tcPr>
            <w:tcW w:w="462" w:type="pct"/>
            <w:noWrap/>
            <w:vAlign w:val="bottom"/>
          </w:tcPr>
          <w:p w14:paraId="41FCDF3E"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22 781 895</w:t>
            </w:r>
          </w:p>
        </w:tc>
        <w:tc>
          <w:tcPr>
            <w:tcW w:w="385" w:type="pct"/>
            <w:vAlign w:val="bottom"/>
          </w:tcPr>
          <w:p w14:paraId="1D0D26D7"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23 783 251</w:t>
            </w:r>
          </w:p>
        </w:tc>
      </w:tr>
      <w:tr w:rsidR="00A17EB1" w:rsidRPr="008C584A" w14:paraId="14AD40A6" w14:textId="77777777" w:rsidTr="00A17EB1">
        <w:trPr>
          <w:trHeight w:val="355"/>
        </w:trPr>
        <w:tc>
          <w:tcPr>
            <w:tcW w:w="696" w:type="pct"/>
          </w:tcPr>
          <w:p w14:paraId="06AE38AA"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lastRenderedPageBreak/>
              <w:t>Podatek od środków transportu</w:t>
            </w:r>
          </w:p>
        </w:tc>
        <w:tc>
          <w:tcPr>
            <w:tcW w:w="458" w:type="pct"/>
            <w:vAlign w:val="bottom"/>
          </w:tcPr>
          <w:p w14:paraId="64C076FF"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581 345</w:t>
            </w:r>
          </w:p>
        </w:tc>
        <w:tc>
          <w:tcPr>
            <w:tcW w:w="538" w:type="pct"/>
            <w:vAlign w:val="bottom"/>
          </w:tcPr>
          <w:p w14:paraId="46A1F90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613 292</w:t>
            </w:r>
          </w:p>
        </w:tc>
        <w:tc>
          <w:tcPr>
            <w:tcW w:w="462" w:type="pct"/>
            <w:vAlign w:val="bottom"/>
          </w:tcPr>
          <w:p w14:paraId="4EDBDDC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811 938,37</w:t>
            </w:r>
          </w:p>
        </w:tc>
        <w:tc>
          <w:tcPr>
            <w:tcW w:w="538" w:type="pct"/>
            <w:vAlign w:val="bottom"/>
          </w:tcPr>
          <w:p w14:paraId="63D72F3F"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578 678,12</w:t>
            </w:r>
          </w:p>
        </w:tc>
        <w:tc>
          <w:tcPr>
            <w:tcW w:w="538" w:type="pct"/>
            <w:noWrap/>
            <w:vAlign w:val="bottom"/>
          </w:tcPr>
          <w:p w14:paraId="513C609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690 313,28</w:t>
            </w:r>
          </w:p>
        </w:tc>
        <w:tc>
          <w:tcPr>
            <w:tcW w:w="461" w:type="pct"/>
            <w:noWrap/>
            <w:vAlign w:val="bottom"/>
          </w:tcPr>
          <w:p w14:paraId="1451B555"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826 237,09</w:t>
            </w:r>
          </w:p>
        </w:tc>
        <w:tc>
          <w:tcPr>
            <w:tcW w:w="462" w:type="pct"/>
            <w:noWrap/>
            <w:vAlign w:val="bottom"/>
          </w:tcPr>
          <w:p w14:paraId="1DA62DC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1 006 262,70</w:t>
            </w:r>
          </w:p>
        </w:tc>
        <w:tc>
          <w:tcPr>
            <w:tcW w:w="462" w:type="pct"/>
            <w:noWrap/>
            <w:vAlign w:val="bottom"/>
          </w:tcPr>
          <w:p w14:paraId="0B3647F1"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887 977,80</w:t>
            </w:r>
          </w:p>
        </w:tc>
        <w:tc>
          <w:tcPr>
            <w:tcW w:w="385" w:type="pct"/>
            <w:vAlign w:val="bottom"/>
          </w:tcPr>
          <w:p w14:paraId="3C72A192"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1 009 197</w:t>
            </w:r>
          </w:p>
        </w:tc>
      </w:tr>
      <w:tr w:rsidR="00A17EB1" w:rsidRPr="008C584A" w14:paraId="478F010F" w14:textId="77777777" w:rsidTr="00A17EB1">
        <w:trPr>
          <w:trHeight w:val="502"/>
        </w:trPr>
        <w:tc>
          <w:tcPr>
            <w:tcW w:w="696" w:type="pct"/>
          </w:tcPr>
          <w:p w14:paraId="5595D547"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Podatek rolny i leśny</w:t>
            </w:r>
          </w:p>
        </w:tc>
        <w:tc>
          <w:tcPr>
            <w:tcW w:w="458" w:type="pct"/>
            <w:vAlign w:val="bottom"/>
          </w:tcPr>
          <w:p w14:paraId="7023EEBD"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818 188</w:t>
            </w:r>
          </w:p>
        </w:tc>
        <w:tc>
          <w:tcPr>
            <w:tcW w:w="538" w:type="pct"/>
            <w:vAlign w:val="bottom"/>
          </w:tcPr>
          <w:p w14:paraId="2D8AC2B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908 612</w:t>
            </w:r>
          </w:p>
        </w:tc>
        <w:tc>
          <w:tcPr>
            <w:tcW w:w="462" w:type="pct"/>
            <w:vAlign w:val="bottom"/>
          </w:tcPr>
          <w:p w14:paraId="3F5CE2A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874 595</w:t>
            </w:r>
          </w:p>
        </w:tc>
        <w:tc>
          <w:tcPr>
            <w:tcW w:w="538" w:type="pct"/>
            <w:vAlign w:val="bottom"/>
          </w:tcPr>
          <w:p w14:paraId="696F603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920 281</w:t>
            </w:r>
          </w:p>
        </w:tc>
        <w:tc>
          <w:tcPr>
            <w:tcW w:w="538" w:type="pct"/>
            <w:noWrap/>
            <w:vAlign w:val="bottom"/>
          </w:tcPr>
          <w:p w14:paraId="70CB892D"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914 149</w:t>
            </w:r>
          </w:p>
        </w:tc>
        <w:tc>
          <w:tcPr>
            <w:tcW w:w="461" w:type="pct"/>
            <w:noWrap/>
            <w:vAlign w:val="bottom"/>
          </w:tcPr>
          <w:p w14:paraId="4B5A8A12"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848 675</w:t>
            </w:r>
          </w:p>
        </w:tc>
        <w:tc>
          <w:tcPr>
            <w:tcW w:w="462" w:type="pct"/>
            <w:noWrap/>
            <w:vAlign w:val="bottom"/>
          </w:tcPr>
          <w:p w14:paraId="6B6F9EC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908 364</w:t>
            </w:r>
          </w:p>
        </w:tc>
        <w:tc>
          <w:tcPr>
            <w:tcW w:w="462" w:type="pct"/>
            <w:noWrap/>
            <w:vAlign w:val="bottom"/>
          </w:tcPr>
          <w:p w14:paraId="342BABD0"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907 772</w:t>
            </w:r>
          </w:p>
        </w:tc>
        <w:tc>
          <w:tcPr>
            <w:tcW w:w="385" w:type="pct"/>
            <w:vAlign w:val="bottom"/>
          </w:tcPr>
          <w:p w14:paraId="0A6B0AEE"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color w:val="000000"/>
                <w:sz w:val="18"/>
                <w:szCs w:val="18"/>
                <w:lang w:eastAsia="pl-PL"/>
              </w:rPr>
              <w:t>989 045</w:t>
            </w:r>
          </w:p>
        </w:tc>
      </w:tr>
      <w:tr w:rsidR="00A17EB1" w:rsidRPr="008C584A" w14:paraId="526D2772" w14:textId="77777777" w:rsidTr="00A17EB1">
        <w:trPr>
          <w:trHeight w:val="163"/>
        </w:trPr>
        <w:tc>
          <w:tcPr>
            <w:tcW w:w="696" w:type="pct"/>
          </w:tcPr>
          <w:p w14:paraId="542889EB"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Podatek od czynności cywilno-prawnych</w:t>
            </w:r>
          </w:p>
        </w:tc>
        <w:tc>
          <w:tcPr>
            <w:tcW w:w="458" w:type="pct"/>
            <w:vAlign w:val="bottom"/>
          </w:tcPr>
          <w:p w14:paraId="323FE4AC"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color w:val="000000"/>
                <w:sz w:val="18"/>
                <w:szCs w:val="18"/>
                <w:lang w:eastAsia="pl-PL"/>
              </w:rPr>
              <w:t>1 106 035</w:t>
            </w:r>
          </w:p>
        </w:tc>
        <w:tc>
          <w:tcPr>
            <w:tcW w:w="538" w:type="pct"/>
            <w:vAlign w:val="bottom"/>
          </w:tcPr>
          <w:p w14:paraId="58346E5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3 618 896</w:t>
            </w:r>
          </w:p>
        </w:tc>
        <w:tc>
          <w:tcPr>
            <w:tcW w:w="462" w:type="pct"/>
            <w:vAlign w:val="bottom"/>
          </w:tcPr>
          <w:p w14:paraId="6E79702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color w:val="000000"/>
                <w:sz w:val="16"/>
                <w:szCs w:val="16"/>
                <w:lang w:eastAsia="pl-PL"/>
              </w:rPr>
              <w:t>1 440 711</w:t>
            </w:r>
          </w:p>
        </w:tc>
        <w:tc>
          <w:tcPr>
            <w:tcW w:w="538" w:type="pct"/>
            <w:vAlign w:val="bottom"/>
          </w:tcPr>
          <w:p w14:paraId="43D111C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1 885 781</w:t>
            </w:r>
          </w:p>
        </w:tc>
        <w:tc>
          <w:tcPr>
            <w:tcW w:w="538" w:type="pct"/>
            <w:noWrap/>
            <w:vAlign w:val="bottom"/>
          </w:tcPr>
          <w:p w14:paraId="46A4491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1 672 015</w:t>
            </w:r>
          </w:p>
        </w:tc>
        <w:tc>
          <w:tcPr>
            <w:tcW w:w="461" w:type="pct"/>
            <w:noWrap/>
            <w:vAlign w:val="bottom"/>
          </w:tcPr>
          <w:p w14:paraId="27943DD0"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1 978 588</w:t>
            </w:r>
          </w:p>
        </w:tc>
        <w:tc>
          <w:tcPr>
            <w:tcW w:w="462" w:type="pct"/>
            <w:noWrap/>
            <w:vAlign w:val="bottom"/>
          </w:tcPr>
          <w:p w14:paraId="7D141B37"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2 511 069</w:t>
            </w:r>
          </w:p>
        </w:tc>
        <w:tc>
          <w:tcPr>
            <w:tcW w:w="462" w:type="pct"/>
            <w:noWrap/>
            <w:vAlign w:val="bottom"/>
          </w:tcPr>
          <w:p w14:paraId="0765183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4 129 416</w:t>
            </w:r>
          </w:p>
        </w:tc>
        <w:tc>
          <w:tcPr>
            <w:tcW w:w="385" w:type="pct"/>
            <w:vAlign w:val="bottom"/>
          </w:tcPr>
          <w:p w14:paraId="4C5E22E2"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2 270 000</w:t>
            </w:r>
          </w:p>
        </w:tc>
      </w:tr>
      <w:tr w:rsidR="00A17EB1" w:rsidRPr="008C584A" w14:paraId="4295A88C" w14:textId="77777777" w:rsidTr="00A17EB1">
        <w:trPr>
          <w:trHeight w:val="272"/>
        </w:trPr>
        <w:tc>
          <w:tcPr>
            <w:tcW w:w="696" w:type="pct"/>
          </w:tcPr>
          <w:p w14:paraId="408F171B"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Opłata skarbowa</w:t>
            </w:r>
          </w:p>
        </w:tc>
        <w:tc>
          <w:tcPr>
            <w:tcW w:w="458" w:type="pct"/>
            <w:vAlign w:val="bottom"/>
          </w:tcPr>
          <w:p w14:paraId="4C7646B7"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85 445</w:t>
            </w:r>
          </w:p>
        </w:tc>
        <w:tc>
          <w:tcPr>
            <w:tcW w:w="538" w:type="pct"/>
            <w:vAlign w:val="bottom"/>
          </w:tcPr>
          <w:p w14:paraId="7083C78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101 013</w:t>
            </w:r>
          </w:p>
        </w:tc>
        <w:tc>
          <w:tcPr>
            <w:tcW w:w="462" w:type="pct"/>
            <w:vAlign w:val="bottom"/>
          </w:tcPr>
          <w:p w14:paraId="0A895E5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109 479</w:t>
            </w:r>
          </w:p>
        </w:tc>
        <w:tc>
          <w:tcPr>
            <w:tcW w:w="538" w:type="pct"/>
            <w:vAlign w:val="bottom"/>
          </w:tcPr>
          <w:p w14:paraId="52F58F6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115 463</w:t>
            </w:r>
          </w:p>
        </w:tc>
        <w:tc>
          <w:tcPr>
            <w:tcW w:w="538" w:type="pct"/>
            <w:noWrap/>
            <w:vAlign w:val="bottom"/>
          </w:tcPr>
          <w:p w14:paraId="318BC4D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117 156</w:t>
            </w:r>
          </w:p>
        </w:tc>
        <w:tc>
          <w:tcPr>
            <w:tcW w:w="461" w:type="pct"/>
            <w:noWrap/>
            <w:vAlign w:val="bottom"/>
          </w:tcPr>
          <w:p w14:paraId="5A0BB5E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121 496</w:t>
            </w:r>
          </w:p>
        </w:tc>
        <w:tc>
          <w:tcPr>
            <w:tcW w:w="462" w:type="pct"/>
            <w:noWrap/>
            <w:vAlign w:val="bottom"/>
          </w:tcPr>
          <w:p w14:paraId="0E4DA560"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140 096</w:t>
            </w:r>
          </w:p>
        </w:tc>
        <w:tc>
          <w:tcPr>
            <w:tcW w:w="462" w:type="pct"/>
            <w:noWrap/>
            <w:vAlign w:val="bottom"/>
          </w:tcPr>
          <w:p w14:paraId="53CE1A88"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177 625</w:t>
            </w:r>
          </w:p>
        </w:tc>
        <w:tc>
          <w:tcPr>
            <w:tcW w:w="385" w:type="pct"/>
            <w:vAlign w:val="bottom"/>
          </w:tcPr>
          <w:p w14:paraId="24DCB843"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0"/>
                <w:szCs w:val="20"/>
                <w:lang w:eastAsia="pl-PL"/>
              </w:rPr>
              <w:t xml:space="preserve">   160 000    </w:t>
            </w:r>
          </w:p>
        </w:tc>
      </w:tr>
      <w:tr w:rsidR="00A17EB1" w:rsidRPr="008C584A" w14:paraId="129AE502" w14:textId="77777777" w:rsidTr="00A17EB1">
        <w:trPr>
          <w:trHeight w:val="272"/>
        </w:trPr>
        <w:tc>
          <w:tcPr>
            <w:tcW w:w="696" w:type="pct"/>
          </w:tcPr>
          <w:p w14:paraId="026FE445" w14:textId="77777777" w:rsidR="008C584A" w:rsidRPr="008C584A" w:rsidRDefault="008C584A" w:rsidP="008C584A">
            <w:pPr>
              <w:spacing w:after="0" w:line="240" w:lineRule="auto"/>
              <w:rPr>
                <w:rFonts w:ascii="Times New Roman" w:eastAsia="Times New Roman" w:hAnsi="Times New Roman" w:cs="Times New Roman"/>
                <w:color w:val="000000"/>
                <w:sz w:val="18"/>
                <w:szCs w:val="18"/>
                <w:lang w:eastAsia="pl-PL"/>
              </w:rPr>
            </w:pPr>
            <w:r w:rsidRPr="008C584A">
              <w:rPr>
                <w:rFonts w:ascii="Times New Roman" w:eastAsia="Times New Roman" w:hAnsi="Times New Roman" w:cs="Times New Roman"/>
                <w:color w:val="000000"/>
                <w:sz w:val="18"/>
                <w:szCs w:val="18"/>
                <w:lang w:eastAsia="pl-PL"/>
              </w:rPr>
              <w:t>Wpływy z usług</w:t>
            </w:r>
          </w:p>
        </w:tc>
        <w:tc>
          <w:tcPr>
            <w:tcW w:w="458" w:type="pct"/>
            <w:vAlign w:val="bottom"/>
          </w:tcPr>
          <w:p w14:paraId="1994E3A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1 408 413</w:t>
            </w:r>
          </w:p>
        </w:tc>
        <w:tc>
          <w:tcPr>
            <w:tcW w:w="538" w:type="pct"/>
            <w:vAlign w:val="bottom"/>
          </w:tcPr>
          <w:p w14:paraId="7FEDC35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1 466 414</w:t>
            </w:r>
          </w:p>
        </w:tc>
        <w:tc>
          <w:tcPr>
            <w:tcW w:w="462" w:type="pct"/>
            <w:vAlign w:val="bottom"/>
          </w:tcPr>
          <w:p w14:paraId="5F6D1E9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2 192 376</w:t>
            </w:r>
          </w:p>
        </w:tc>
        <w:tc>
          <w:tcPr>
            <w:tcW w:w="538" w:type="pct"/>
            <w:vAlign w:val="bottom"/>
          </w:tcPr>
          <w:p w14:paraId="783AF266"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2 229 051</w:t>
            </w:r>
          </w:p>
        </w:tc>
        <w:tc>
          <w:tcPr>
            <w:tcW w:w="538" w:type="pct"/>
            <w:noWrap/>
            <w:vAlign w:val="bottom"/>
          </w:tcPr>
          <w:p w14:paraId="08721CB5"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2 295 827</w:t>
            </w:r>
          </w:p>
        </w:tc>
        <w:tc>
          <w:tcPr>
            <w:tcW w:w="461" w:type="pct"/>
            <w:noWrap/>
            <w:vAlign w:val="bottom"/>
          </w:tcPr>
          <w:p w14:paraId="1CC403BA"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2 910 477</w:t>
            </w:r>
          </w:p>
        </w:tc>
        <w:tc>
          <w:tcPr>
            <w:tcW w:w="462" w:type="pct"/>
            <w:noWrap/>
            <w:vAlign w:val="bottom"/>
          </w:tcPr>
          <w:p w14:paraId="26CFC459"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1 744 104</w:t>
            </w:r>
          </w:p>
        </w:tc>
        <w:tc>
          <w:tcPr>
            <w:tcW w:w="462" w:type="pct"/>
            <w:noWrap/>
            <w:vAlign w:val="bottom"/>
          </w:tcPr>
          <w:p w14:paraId="0BAC52A4"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2 327 285</w:t>
            </w:r>
          </w:p>
        </w:tc>
        <w:tc>
          <w:tcPr>
            <w:tcW w:w="385" w:type="pct"/>
            <w:vAlign w:val="bottom"/>
          </w:tcPr>
          <w:p w14:paraId="6CEB1BEB" w14:textId="77777777" w:rsidR="008C584A" w:rsidRPr="008C584A" w:rsidRDefault="008C584A" w:rsidP="008C584A">
            <w:pPr>
              <w:spacing w:after="0" w:line="240" w:lineRule="auto"/>
              <w:jc w:val="right"/>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18"/>
                <w:szCs w:val="18"/>
                <w:lang w:eastAsia="pl-PL"/>
              </w:rPr>
              <w:t>3 467 500</w:t>
            </w:r>
          </w:p>
        </w:tc>
      </w:tr>
    </w:tbl>
    <w:p w14:paraId="5B504116" w14:textId="77777777" w:rsidR="008C584A" w:rsidRPr="00EB41D2" w:rsidRDefault="008C584A" w:rsidP="003F13DF">
      <w:pPr>
        <w:spacing w:after="0" w:line="276" w:lineRule="auto"/>
        <w:jc w:val="both"/>
        <w:rPr>
          <w:rFonts w:ascii="Times New Roman" w:eastAsia="Times New Roman" w:hAnsi="Times New Roman" w:cs="Times New Roman"/>
          <w:spacing w:val="-3"/>
          <w:sz w:val="24"/>
          <w:szCs w:val="24"/>
          <w:lang w:eastAsia="pl-PL"/>
        </w:rPr>
      </w:pPr>
      <w:r w:rsidRPr="00EB41D2">
        <w:rPr>
          <w:rFonts w:ascii="Times New Roman" w:eastAsia="Times New Roman" w:hAnsi="Times New Roman" w:cs="Times New Roman"/>
          <w:spacing w:val="-3"/>
          <w:sz w:val="24"/>
          <w:szCs w:val="24"/>
          <w:lang w:eastAsia="pl-PL"/>
        </w:rPr>
        <w:t xml:space="preserve">Źródło: obliczenia własne </w:t>
      </w:r>
      <w:r w:rsidRPr="00EB41D2">
        <w:rPr>
          <w:rFonts w:ascii="Times New Roman" w:eastAsia="Times New Roman" w:hAnsi="Times New Roman" w:cs="Times New Roman"/>
          <w:sz w:val="24"/>
          <w:szCs w:val="24"/>
          <w:lang w:eastAsia="pl-PL"/>
        </w:rPr>
        <w:t>na podstawie danych GUS i sprawozdań budżetowych Gminy Góra Kalwaria</w:t>
      </w:r>
    </w:p>
    <w:p w14:paraId="30DDCE26" w14:textId="77777777" w:rsidR="008C584A" w:rsidRPr="00EB41D2" w:rsidRDefault="008C584A" w:rsidP="008C584A">
      <w:pPr>
        <w:tabs>
          <w:tab w:val="left" w:pos="-720"/>
        </w:tabs>
        <w:suppressAutoHyphens/>
        <w:spacing w:after="0" w:line="240" w:lineRule="auto"/>
        <w:ind w:firstLine="357"/>
        <w:jc w:val="both"/>
        <w:rPr>
          <w:rFonts w:ascii="Times New Roman" w:eastAsia="Times New Roman" w:hAnsi="Times New Roman" w:cs="Times New Roman"/>
          <w:i/>
          <w:iCs/>
          <w:spacing w:val="-3"/>
          <w:sz w:val="24"/>
          <w:szCs w:val="24"/>
          <w:lang w:eastAsia="pl-PL"/>
        </w:rPr>
      </w:pPr>
    </w:p>
    <w:p w14:paraId="483A4386" w14:textId="77777777" w:rsidR="008C584A" w:rsidRPr="008C584A" w:rsidRDefault="008C584A" w:rsidP="00F84B57">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Udziały w podatkach budżetu państwa PIT i CIT – to grupa dochodów, które w dużym stopniu odwzorowująca poziom rozwoju społeczno-gospodarczego gminy. Ich wielkości jest zależna od zamożności społeczeństwa oraz wyników finansowych podmiotów gospodarczych funkcjonujących na jej terenie. </w:t>
      </w:r>
      <w:r w:rsidRPr="008C584A">
        <w:rPr>
          <w:rFonts w:ascii="Times New Roman" w:eastAsia="Times New Roman" w:hAnsi="Times New Roman" w:cs="Times New Roman"/>
          <w:spacing w:val="-3"/>
          <w:sz w:val="24"/>
          <w:szCs w:val="24"/>
          <w:lang w:eastAsia="pl-PL"/>
        </w:rPr>
        <w:t>Dochody gminy Góra Kalwaria uzyskiwane z tego tytułu wzrosły nominalnie z 20,9 mln zł w 2014 r. do 33,4 mln zł  w 2018 r. oraz 43,4 mln zł w 2022 r. Ich realna wartość zwiększyła się  odpowiednio z 23,7 mln zł przez 37,8 mln zł. do 43,4 mln zł. To zjawisko pozytywne, świadczące o rozwoju społeczno-gospodarczym gminy. W strukturze tej grupy dochodów w badanym okresie dominowały wpływy z podatku od osób fizycznych. Ich udział w dochodach ogółem był w latach 2014-2022 nieco niższy od średnich krajowych i wahał się w przedziale od 92,8% w roku 2022 do 94,7% w 2015 r. Uzupełnieniem były środki pochodzące z podatku CIT, stanowiące od 5,3% w 2015 r. do 7,3% w planie 2022 r. całości wpływów budżetowych.</w:t>
      </w:r>
    </w:p>
    <w:p w14:paraId="7E3D3C99" w14:textId="77777777" w:rsidR="008C584A" w:rsidRP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Dochody z tytułu subwencji wzrosły w wartościach nominalnych z 21,1 mln zł w roku 2014 do 24,4 mln zł. w 2018 r. i 30,5 mln zł w 2022 r. W wartościach realnych zwiększyły się one odpowiednio z 23,9 mln zł do 27,5 mln zł. i 30,5 mln zł., tj. o 27,4%. Dominującą część subwencji stanowiła subwencja oświatowa. </w:t>
      </w:r>
    </w:p>
    <w:p w14:paraId="0E4AC062" w14:textId="77777777" w:rsidR="008C584A" w:rsidRPr="008C584A" w:rsidRDefault="008C584A" w:rsidP="00F84B57">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Dochody z tytułu dotacji zwiększyły się  z 9,1 mln zł. w 2014 r. do 30,8 mln zł. w 2018 r. i 47,6 mln zł w 2022 r., a w wartościach realnych odpowiednio z 10,3 mln zł. do 34,8 mln zł i 47,6 mln zł. Dynamika wzrostu całego okresu wyniosła 360%, co w dużym stopniu  było następstwem wprowadzenia w 2016 r. „Programu Rodzina 500+”. W strukturze dotacji dominowały dotacje celowe, przeznaczone na zadania z zakresu administracji rządowej.</w:t>
      </w:r>
    </w:p>
    <w:p w14:paraId="64C31A62" w14:textId="174B792E" w:rsidR="008C584A" w:rsidRDefault="008C584A" w:rsidP="00F84B57">
      <w:pPr>
        <w:spacing w:after="0" w:line="276" w:lineRule="auto"/>
        <w:ind w:firstLine="357"/>
        <w:jc w:val="both"/>
        <w:rPr>
          <w:rFonts w:ascii="Times New Roman" w:eastAsia="Times New Roman" w:hAnsi="Times New Roman" w:cs="Times New Roman"/>
          <w:bCs/>
          <w:sz w:val="24"/>
          <w:szCs w:val="24"/>
          <w:lang w:eastAsia="pl-PL"/>
        </w:rPr>
      </w:pPr>
      <w:r w:rsidRPr="008C584A">
        <w:rPr>
          <w:rFonts w:ascii="Times New Roman" w:eastAsia="Times New Roman" w:hAnsi="Times New Roman" w:cs="Times New Roman"/>
          <w:sz w:val="24"/>
          <w:szCs w:val="24"/>
          <w:lang w:eastAsia="pl-PL"/>
        </w:rPr>
        <w:t xml:space="preserve">W latach 2014-2022 władze lokalne pozyskały zagraniczne środki pomocowe w wysokości prawie 19,6 mln zł. </w:t>
      </w:r>
      <w:r w:rsidRPr="008C584A">
        <w:rPr>
          <w:rFonts w:ascii="Times New Roman" w:eastAsia="Times New Roman" w:hAnsi="Times New Roman" w:cs="Times New Roman"/>
          <w:bCs/>
          <w:sz w:val="24"/>
          <w:szCs w:val="24"/>
          <w:lang w:eastAsia="pl-PL"/>
        </w:rPr>
        <w:t xml:space="preserve">Warunkiem pozyskania środków unijnych jest zapewnienie własnego wkładu finansowego, a także profesjonalne przygotowanie projektów, ich sprawna realizacja i prawidłowe rozliczenie. </w:t>
      </w:r>
    </w:p>
    <w:p w14:paraId="4574A3AA" w14:textId="77777777" w:rsidR="006B6EE8" w:rsidRPr="008C584A" w:rsidRDefault="006B6EE8" w:rsidP="00F84B57">
      <w:pPr>
        <w:spacing w:after="0" w:line="276" w:lineRule="auto"/>
        <w:ind w:firstLine="357"/>
        <w:jc w:val="both"/>
        <w:rPr>
          <w:rFonts w:ascii="Times New Roman" w:eastAsia="Times New Roman" w:hAnsi="Times New Roman" w:cs="Times New Roman"/>
          <w:bCs/>
          <w:sz w:val="24"/>
          <w:szCs w:val="24"/>
          <w:lang w:eastAsia="pl-PL"/>
        </w:rPr>
      </w:pPr>
    </w:p>
    <w:p w14:paraId="2BD816F1" w14:textId="77777777" w:rsidR="008C584A" w:rsidRPr="008C584A" w:rsidRDefault="008C584A" w:rsidP="006B6EE8">
      <w:pPr>
        <w:spacing w:after="0" w:line="276" w:lineRule="auto"/>
        <w:jc w:val="both"/>
        <w:rPr>
          <w:rFonts w:ascii="Times New Roman" w:eastAsia="Times New Roman" w:hAnsi="Times New Roman" w:cs="Times New Roman"/>
          <w:sz w:val="24"/>
          <w:szCs w:val="20"/>
          <w:u w:val="single"/>
          <w:lang w:eastAsia="pl-PL"/>
        </w:rPr>
      </w:pPr>
      <w:r w:rsidRPr="008C584A">
        <w:rPr>
          <w:rFonts w:ascii="Times New Roman" w:eastAsia="Times New Roman" w:hAnsi="Times New Roman" w:cs="Times New Roman"/>
          <w:sz w:val="24"/>
          <w:szCs w:val="20"/>
          <w:u w:val="single"/>
          <w:lang w:eastAsia="pl-PL"/>
        </w:rPr>
        <w:t>Podsumowanie</w:t>
      </w:r>
    </w:p>
    <w:p w14:paraId="1BF4E043" w14:textId="77777777" w:rsidR="008C584A" w:rsidRPr="008C584A" w:rsidRDefault="008C584A" w:rsidP="006B6EE8">
      <w:pPr>
        <w:numPr>
          <w:ilvl w:val="0"/>
          <w:numId w:val="93"/>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Z punktu widzenia gospodarowania budżetem i możliwości jego długookresowego prognozowania zanotowane w analizowanym okresie zmiany są korzystne dla gminy Góra Kalwaria. Wynika to głównie ze stałego wzrostu dochodów budżetu;</w:t>
      </w:r>
    </w:p>
    <w:p w14:paraId="1C4C3379" w14:textId="77777777" w:rsidR="008C584A" w:rsidRPr="008C584A" w:rsidRDefault="008C584A" w:rsidP="006B6EE8">
      <w:pPr>
        <w:numPr>
          <w:ilvl w:val="0"/>
          <w:numId w:val="93"/>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lastRenderedPageBreak/>
        <w:t>Korzystnie kształtuje się struktura dochodów budżetowych. Wysoki udział dochodów własnych sprzyja procesowi racjonalnego planowania finansowego;</w:t>
      </w:r>
    </w:p>
    <w:p w14:paraId="325F6739" w14:textId="77777777" w:rsidR="008C584A" w:rsidRPr="008C584A" w:rsidRDefault="008C584A" w:rsidP="006B6EE8">
      <w:pPr>
        <w:numPr>
          <w:ilvl w:val="0"/>
          <w:numId w:val="93"/>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Stały wzrost dochodów z podatków dochodowych PIT i CIT świadczy o rozwoju społeczno-gospodarczym gminy i umacnianiu jej bazy ekonomicznej;</w:t>
      </w:r>
    </w:p>
    <w:p w14:paraId="1107CD60" w14:textId="77777777" w:rsidR="008C584A" w:rsidRPr="008C584A" w:rsidRDefault="008C584A" w:rsidP="006B6EE8">
      <w:pPr>
        <w:numPr>
          <w:ilvl w:val="0"/>
          <w:numId w:val="93"/>
        </w:numPr>
        <w:tabs>
          <w:tab w:val="left" w:pos="0"/>
          <w:tab w:val="left" w:pos="1152"/>
        </w:tabs>
        <w:spacing w:after="0" w:line="276" w:lineRule="auto"/>
        <w:jc w:val="both"/>
        <w:rPr>
          <w:rFonts w:ascii="Times New Roman" w:eastAsia="Times New Roman" w:hAnsi="Times New Roman" w:cs="Times New Roman"/>
          <w:sz w:val="20"/>
          <w:szCs w:val="24"/>
          <w:lang w:eastAsia="pl-PL"/>
        </w:rPr>
      </w:pPr>
      <w:r w:rsidRPr="008C584A">
        <w:rPr>
          <w:rFonts w:ascii="Times New Roman" w:eastAsia="Times New Roman" w:hAnsi="Times New Roman" w:cs="Times New Roman"/>
          <w:sz w:val="24"/>
          <w:szCs w:val="24"/>
          <w:lang w:eastAsia="pl-PL"/>
        </w:rPr>
        <w:t xml:space="preserve">Władze samorządowe wykazały wysoką skuteczność w pozyskiwaniu dotacji unijnych, stanowiących ważne źródło finansowania inwestycji komunalnych; </w:t>
      </w:r>
    </w:p>
    <w:p w14:paraId="2930F102" w14:textId="77777777" w:rsidR="00926698" w:rsidRDefault="008C584A" w:rsidP="006B6EE8">
      <w:pPr>
        <w:numPr>
          <w:ilvl w:val="0"/>
          <w:numId w:val="93"/>
        </w:numPr>
        <w:tabs>
          <w:tab w:val="left" w:pos="0"/>
          <w:tab w:val="left" w:pos="1152"/>
        </w:tabs>
        <w:spacing w:after="0" w:line="276" w:lineRule="auto"/>
        <w:jc w:val="both"/>
        <w:rPr>
          <w:rFonts w:ascii="Times New Roman" w:eastAsia="Times New Roman" w:hAnsi="Times New Roman" w:cs="Times New Roman"/>
          <w:sz w:val="20"/>
          <w:szCs w:val="24"/>
          <w:lang w:eastAsia="pl-PL"/>
        </w:rPr>
      </w:pPr>
      <w:r w:rsidRPr="008C584A">
        <w:rPr>
          <w:rFonts w:ascii="Times New Roman" w:eastAsia="Times New Roman" w:hAnsi="Times New Roman" w:cs="Times New Roman"/>
          <w:sz w:val="24"/>
          <w:szCs w:val="24"/>
          <w:lang w:eastAsia="pl-PL"/>
        </w:rPr>
        <w:t>Niepokój budzi stosunkowo niska dynamika przyrostu dochodów z subwencji ogólnej, w tym jej głównej części jaką jest subwencja oświatowa.</w:t>
      </w:r>
    </w:p>
    <w:p w14:paraId="6D5E1CAE" w14:textId="77777777" w:rsidR="00926698" w:rsidRDefault="00926698" w:rsidP="006B6EE8">
      <w:pPr>
        <w:tabs>
          <w:tab w:val="left" w:pos="0"/>
          <w:tab w:val="left" w:pos="1152"/>
        </w:tabs>
        <w:spacing w:after="0" w:line="276" w:lineRule="auto"/>
        <w:ind w:left="360"/>
        <w:jc w:val="both"/>
        <w:rPr>
          <w:rFonts w:ascii="Times New Roman" w:eastAsia="Times New Roman" w:hAnsi="Times New Roman" w:cs="Times New Roman"/>
          <w:sz w:val="20"/>
          <w:szCs w:val="24"/>
          <w:lang w:eastAsia="pl-PL"/>
        </w:rPr>
      </w:pPr>
    </w:p>
    <w:p w14:paraId="10AADEF8" w14:textId="52B4639B" w:rsidR="008C584A" w:rsidRPr="00926698" w:rsidRDefault="008C584A" w:rsidP="006B6EE8">
      <w:pPr>
        <w:tabs>
          <w:tab w:val="left" w:pos="0"/>
          <w:tab w:val="left" w:pos="1152"/>
        </w:tabs>
        <w:spacing w:after="0" w:line="276" w:lineRule="auto"/>
        <w:ind w:left="360"/>
        <w:jc w:val="both"/>
        <w:rPr>
          <w:rFonts w:ascii="Times New Roman" w:eastAsia="Times New Roman" w:hAnsi="Times New Roman" w:cs="Times New Roman"/>
          <w:sz w:val="20"/>
          <w:szCs w:val="24"/>
          <w:lang w:eastAsia="pl-PL"/>
        </w:rPr>
      </w:pPr>
      <w:r w:rsidRPr="00926698">
        <w:rPr>
          <w:rFonts w:ascii="Times New Roman" w:eastAsia="Times New Roman" w:hAnsi="Times New Roman" w:cs="Arial"/>
          <w:b/>
          <w:bCs/>
          <w:sz w:val="26"/>
          <w:szCs w:val="26"/>
          <w:lang w:eastAsia="pl-PL"/>
        </w:rPr>
        <w:t>Wydatki budżetu gminy Góra Kalwaria w latach 2014-2022</w:t>
      </w:r>
    </w:p>
    <w:p w14:paraId="06389375" w14:textId="77777777" w:rsidR="008C584A" w:rsidRPr="008C584A" w:rsidRDefault="008C584A" w:rsidP="006B6EE8">
      <w:pPr>
        <w:spacing w:after="0" w:line="276" w:lineRule="auto"/>
        <w:jc w:val="both"/>
        <w:rPr>
          <w:rFonts w:ascii="Arial Narrow" w:eastAsia="Times New Roman" w:hAnsi="Arial Narrow" w:cs="Times New Roman"/>
          <w:b/>
          <w:bCs/>
          <w:i/>
          <w:iCs/>
          <w:lang w:eastAsia="pl-PL"/>
        </w:rPr>
      </w:pPr>
    </w:p>
    <w:p w14:paraId="437DAE4B"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Wydatki budżetu gminy Góra Kalwaria wzrosły w badanym okresie nominalnie z </w:t>
      </w:r>
      <w:r w:rsidRPr="008C584A">
        <w:rPr>
          <w:rFonts w:ascii="Times New Roman" w:eastAsia="Times New Roman" w:hAnsi="Times New Roman" w:cs="Times New Roman"/>
          <w:color w:val="000000"/>
          <w:sz w:val="24"/>
          <w:szCs w:val="24"/>
          <w:lang w:eastAsia="pl-PL"/>
        </w:rPr>
        <w:t xml:space="preserve">87,3 mln zł w roku 2014 do 134,8 </w:t>
      </w:r>
      <w:r w:rsidRPr="008C584A">
        <w:rPr>
          <w:rFonts w:ascii="Times New Roman" w:eastAsia="Times New Roman" w:hAnsi="Times New Roman" w:cs="Times New Roman"/>
          <w:sz w:val="24"/>
          <w:szCs w:val="24"/>
          <w:lang w:eastAsia="pl-PL"/>
        </w:rPr>
        <w:t xml:space="preserve">mln zł w 2018 r. i 214,98 mln zł w 2022 r., tj. o 146%, a realnie z 99,1 mln zł do 214,98 mln zł, tj. o 117%. Ich najwyższy poziom zanotowano w dwóch ostatnich latach analizowanego okresu. </w:t>
      </w:r>
    </w:p>
    <w:p w14:paraId="47945554"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cenach stałych przyrost dochodów własnych wyniósł: </w:t>
      </w:r>
    </w:p>
    <w:p w14:paraId="209A4871" w14:textId="77777777" w:rsidR="008C584A" w:rsidRPr="008C584A" w:rsidRDefault="008C584A" w:rsidP="006B6EE8">
      <w:pPr>
        <w:numPr>
          <w:ilvl w:val="0"/>
          <w:numId w:val="96"/>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latach 2014-2018 z 99,1 mln zł do 152,3 </w:t>
      </w:r>
      <w:r w:rsidRPr="008C584A">
        <w:rPr>
          <w:rFonts w:ascii="Times New Roman" w:eastAsia="Times New Roman" w:hAnsi="Times New Roman" w:cs="Times New Roman"/>
          <w:color w:val="000000"/>
          <w:sz w:val="24"/>
          <w:szCs w:val="24"/>
          <w:lang w:eastAsia="pl-PL"/>
        </w:rPr>
        <w:t>mln zł, tj. o 53,7%;</w:t>
      </w:r>
    </w:p>
    <w:p w14:paraId="59D9D11E" w14:textId="77777777" w:rsidR="008C584A" w:rsidRPr="008C584A" w:rsidRDefault="008C584A" w:rsidP="006B6EE8">
      <w:pPr>
        <w:numPr>
          <w:ilvl w:val="0"/>
          <w:numId w:val="96"/>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color w:val="000000"/>
          <w:sz w:val="24"/>
          <w:szCs w:val="24"/>
          <w:lang w:eastAsia="pl-PL"/>
        </w:rPr>
        <w:t xml:space="preserve">w latach 2018-2022 ze </w:t>
      </w:r>
      <w:r w:rsidRPr="008C584A">
        <w:rPr>
          <w:rFonts w:ascii="Times New Roman" w:eastAsia="Times New Roman" w:hAnsi="Times New Roman" w:cs="Times New Roman"/>
          <w:sz w:val="24"/>
          <w:szCs w:val="24"/>
          <w:lang w:eastAsia="pl-PL"/>
        </w:rPr>
        <w:t>152,3</w:t>
      </w:r>
      <w:r w:rsidRPr="008C584A">
        <w:rPr>
          <w:rFonts w:ascii="Times New Roman" w:eastAsia="Times New Roman" w:hAnsi="Times New Roman" w:cs="Times New Roman"/>
          <w:color w:val="000000"/>
          <w:sz w:val="24"/>
          <w:szCs w:val="24"/>
          <w:lang w:eastAsia="pl-PL"/>
        </w:rPr>
        <w:t xml:space="preserve"> mln do </w:t>
      </w:r>
      <w:r w:rsidRPr="008C584A">
        <w:rPr>
          <w:rFonts w:ascii="Times New Roman" w:eastAsia="Times New Roman" w:hAnsi="Times New Roman" w:cs="Times New Roman"/>
          <w:sz w:val="24"/>
          <w:szCs w:val="24"/>
          <w:lang w:eastAsia="pl-PL"/>
        </w:rPr>
        <w:t>214,98 mln zł, tj. o 41,2%.</w:t>
      </w:r>
    </w:p>
    <w:p w14:paraId="14386356" w14:textId="713DAB99" w:rsid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Przyrost wydatków ogółem wynikał ze zwiększenia wydatków bieżących (o 113%) oraz wydatków inwestycyjnych (o 136%). Szczegółowe zestawienie wielkości wydatków budżetowych w latach 2014-2022 w cenach bieżących i stałych zawarto tabeli </w:t>
      </w:r>
      <w:r w:rsidR="00926698">
        <w:rPr>
          <w:rFonts w:ascii="Times New Roman" w:eastAsia="Times New Roman" w:hAnsi="Times New Roman" w:cs="Times New Roman"/>
          <w:sz w:val="24"/>
          <w:szCs w:val="24"/>
          <w:lang w:eastAsia="pl-PL"/>
        </w:rPr>
        <w:t>10</w:t>
      </w:r>
      <w:r w:rsidRPr="008C584A">
        <w:rPr>
          <w:rFonts w:ascii="Times New Roman" w:eastAsia="Times New Roman" w:hAnsi="Times New Roman" w:cs="Times New Roman"/>
          <w:sz w:val="24"/>
          <w:szCs w:val="24"/>
          <w:lang w:eastAsia="pl-PL"/>
        </w:rPr>
        <w:t>, zilustrowanej ry</w:t>
      </w:r>
      <w:r w:rsidR="00926698">
        <w:rPr>
          <w:rFonts w:ascii="Times New Roman" w:eastAsia="Times New Roman" w:hAnsi="Times New Roman" w:cs="Times New Roman"/>
          <w:sz w:val="24"/>
          <w:szCs w:val="24"/>
          <w:lang w:eastAsia="pl-PL"/>
        </w:rPr>
        <w:t xml:space="preserve">c. </w:t>
      </w:r>
      <w:r w:rsidRPr="008C584A">
        <w:rPr>
          <w:rFonts w:ascii="Times New Roman" w:eastAsia="Times New Roman" w:hAnsi="Times New Roman" w:cs="Times New Roman"/>
          <w:sz w:val="24"/>
          <w:szCs w:val="24"/>
          <w:lang w:eastAsia="pl-PL"/>
        </w:rPr>
        <w:t xml:space="preserve"> </w:t>
      </w:r>
      <w:r w:rsidR="00926698">
        <w:rPr>
          <w:rFonts w:ascii="Times New Roman" w:eastAsia="Times New Roman" w:hAnsi="Times New Roman" w:cs="Times New Roman"/>
          <w:sz w:val="24"/>
          <w:szCs w:val="24"/>
          <w:lang w:eastAsia="pl-PL"/>
        </w:rPr>
        <w:t>8</w:t>
      </w:r>
      <w:r w:rsidRPr="008C584A">
        <w:rPr>
          <w:rFonts w:ascii="Times New Roman" w:eastAsia="Times New Roman" w:hAnsi="Times New Roman" w:cs="Times New Roman"/>
          <w:sz w:val="24"/>
          <w:szCs w:val="24"/>
          <w:lang w:eastAsia="pl-PL"/>
        </w:rPr>
        <w:t xml:space="preserve"> i </w:t>
      </w:r>
      <w:r w:rsidR="00926698">
        <w:rPr>
          <w:rFonts w:ascii="Times New Roman" w:eastAsia="Times New Roman" w:hAnsi="Times New Roman" w:cs="Times New Roman"/>
          <w:sz w:val="24"/>
          <w:szCs w:val="24"/>
          <w:lang w:eastAsia="pl-PL"/>
        </w:rPr>
        <w:t>9</w:t>
      </w:r>
      <w:r w:rsidRPr="008C584A">
        <w:rPr>
          <w:rFonts w:ascii="Times New Roman" w:eastAsia="Times New Roman" w:hAnsi="Times New Roman" w:cs="Times New Roman"/>
          <w:sz w:val="24"/>
          <w:szCs w:val="24"/>
          <w:lang w:eastAsia="pl-PL"/>
        </w:rPr>
        <w:t>.</w:t>
      </w:r>
    </w:p>
    <w:p w14:paraId="65ECF3C2" w14:textId="77777777" w:rsidR="006B6EE8" w:rsidRPr="008C584A" w:rsidRDefault="006B6EE8" w:rsidP="006B6EE8">
      <w:pPr>
        <w:spacing w:after="0" w:line="276" w:lineRule="auto"/>
        <w:ind w:firstLine="357"/>
        <w:jc w:val="both"/>
        <w:rPr>
          <w:rFonts w:ascii="Times New Roman" w:eastAsia="Times New Roman" w:hAnsi="Times New Roman" w:cs="Times New Roman"/>
          <w:sz w:val="24"/>
          <w:szCs w:val="24"/>
          <w:lang w:eastAsia="pl-PL"/>
        </w:rPr>
      </w:pPr>
    </w:p>
    <w:p w14:paraId="5247A23F" w14:textId="71635B9F" w:rsidR="008C584A" w:rsidRPr="008C584A" w:rsidRDefault="008C584A" w:rsidP="008C584A">
      <w:pPr>
        <w:tabs>
          <w:tab w:val="left" w:pos="0"/>
          <w:tab w:val="left" w:pos="1440"/>
        </w:tabs>
        <w:spacing w:after="0" w:line="288"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 Tabela </w:t>
      </w:r>
      <w:r w:rsidR="00926698">
        <w:rPr>
          <w:rFonts w:ascii="Times New Roman" w:eastAsia="Times New Roman" w:hAnsi="Times New Roman" w:cs="Times New Roman"/>
          <w:sz w:val="24"/>
          <w:szCs w:val="24"/>
          <w:lang w:eastAsia="pl-PL"/>
        </w:rPr>
        <w:t>10</w:t>
      </w:r>
      <w:r w:rsidRPr="008C584A">
        <w:rPr>
          <w:rFonts w:ascii="Times New Roman" w:eastAsia="Times New Roman" w:hAnsi="Times New Roman" w:cs="Times New Roman"/>
          <w:sz w:val="24"/>
          <w:szCs w:val="24"/>
          <w:lang w:eastAsia="pl-PL"/>
        </w:rPr>
        <w:t xml:space="preserve"> </w:t>
      </w:r>
      <w:bookmarkStart w:id="49" w:name="_Hlk119636530"/>
      <w:r w:rsidRPr="008C584A">
        <w:rPr>
          <w:rFonts w:ascii="Times New Roman" w:eastAsia="Times New Roman" w:hAnsi="Times New Roman" w:cs="Times New Roman"/>
          <w:snapToGrid w:val="0"/>
          <w:color w:val="000000"/>
          <w:sz w:val="24"/>
          <w:szCs w:val="24"/>
          <w:lang w:eastAsia="pl-PL"/>
        </w:rPr>
        <w:t>Wydatki budżetu Gminy Góra Kalwaria w latach 2014-2022 w zł</w:t>
      </w:r>
      <w:bookmarkEnd w:id="49"/>
      <w:r w:rsidRPr="008C584A">
        <w:rPr>
          <w:rFonts w:ascii="Times New Roman" w:eastAsia="Times New Roman" w:hAnsi="Times New Roman" w:cs="Times New Roman"/>
          <w:snapToGrid w:val="0"/>
          <w:color w:val="000000"/>
          <w:sz w:val="24"/>
          <w:szCs w:val="24"/>
          <w:lang w:eastAsia="pl-PL"/>
        </w:rPr>
        <w:t xml:space="preserve">. </w:t>
      </w:r>
    </w:p>
    <w:tbl>
      <w:tblPr>
        <w:tblW w:w="5910" w:type="pct"/>
        <w:tblInd w:w="-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383"/>
        <w:gridCol w:w="1008"/>
        <w:gridCol w:w="107"/>
        <w:gridCol w:w="876"/>
        <w:gridCol w:w="1011"/>
        <w:gridCol w:w="56"/>
        <w:gridCol w:w="906"/>
        <w:gridCol w:w="842"/>
        <w:gridCol w:w="844"/>
        <w:gridCol w:w="874"/>
        <w:gridCol w:w="165"/>
        <w:gridCol w:w="822"/>
        <w:gridCol w:w="69"/>
        <w:gridCol w:w="889"/>
        <w:gridCol w:w="857"/>
      </w:tblGrid>
      <w:tr w:rsidR="008C584A" w:rsidRPr="008C584A" w14:paraId="5951C16F" w14:textId="77777777" w:rsidTr="005155C7">
        <w:trPr>
          <w:trHeight w:val="256"/>
        </w:trPr>
        <w:tc>
          <w:tcPr>
            <w:tcW w:w="646" w:type="pct"/>
            <w:vMerge w:val="restart"/>
            <w:shd w:val="clear" w:color="auto" w:fill="D9E2F3" w:themeFill="accent1" w:themeFillTint="33"/>
            <w:vAlign w:val="bottom"/>
          </w:tcPr>
          <w:p w14:paraId="21283A15"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Wyszczególnienie</w:t>
            </w:r>
          </w:p>
        </w:tc>
        <w:tc>
          <w:tcPr>
            <w:tcW w:w="930" w:type="pct"/>
            <w:gridSpan w:val="3"/>
            <w:shd w:val="clear" w:color="auto" w:fill="D9E2F3" w:themeFill="accent1" w:themeFillTint="33"/>
            <w:vAlign w:val="bottom"/>
          </w:tcPr>
          <w:p w14:paraId="1F490063" w14:textId="19A1C8CD"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2014</w:t>
            </w:r>
          </w:p>
        </w:tc>
        <w:tc>
          <w:tcPr>
            <w:tcW w:w="921" w:type="pct"/>
            <w:gridSpan w:val="3"/>
            <w:shd w:val="clear" w:color="auto" w:fill="D9E2F3" w:themeFill="accent1" w:themeFillTint="33"/>
            <w:vAlign w:val="bottom"/>
          </w:tcPr>
          <w:p w14:paraId="4EA097C0" w14:textId="5F87DA5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2015</w:t>
            </w:r>
          </w:p>
        </w:tc>
        <w:tc>
          <w:tcPr>
            <w:tcW w:w="787" w:type="pct"/>
            <w:gridSpan w:val="2"/>
            <w:shd w:val="clear" w:color="auto" w:fill="D9E2F3" w:themeFill="accent1" w:themeFillTint="33"/>
            <w:vAlign w:val="bottom"/>
          </w:tcPr>
          <w:p w14:paraId="01EA8D07" w14:textId="1864E1F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2016</w:t>
            </w:r>
          </w:p>
        </w:tc>
        <w:tc>
          <w:tcPr>
            <w:tcW w:w="869" w:type="pct"/>
            <w:gridSpan w:val="3"/>
            <w:shd w:val="clear" w:color="auto" w:fill="D9E2F3" w:themeFill="accent1" w:themeFillTint="33"/>
            <w:vAlign w:val="bottom"/>
          </w:tcPr>
          <w:p w14:paraId="1E30E4B7" w14:textId="65CC903A"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2017</w:t>
            </w:r>
          </w:p>
        </w:tc>
        <w:tc>
          <w:tcPr>
            <w:tcW w:w="847" w:type="pct"/>
            <w:gridSpan w:val="3"/>
            <w:shd w:val="clear" w:color="auto" w:fill="D9E2F3" w:themeFill="accent1" w:themeFillTint="33"/>
            <w:vAlign w:val="bottom"/>
          </w:tcPr>
          <w:p w14:paraId="54C30989" w14:textId="2D33AB55"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2018</w:t>
            </w:r>
          </w:p>
        </w:tc>
      </w:tr>
      <w:tr w:rsidR="008C584A" w:rsidRPr="008C584A" w14:paraId="3703A794" w14:textId="77777777" w:rsidTr="005155C7">
        <w:trPr>
          <w:trHeight w:val="599"/>
        </w:trPr>
        <w:tc>
          <w:tcPr>
            <w:tcW w:w="646" w:type="pct"/>
            <w:vMerge/>
            <w:shd w:val="clear" w:color="auto" w:fill="D9E2F3" w:themeFill="accent1" w:themeFillTint="33"/>
            <w:vAlign w:val="bottom"/>
          </w:tcPr>
          <w:p w14:paraId="3076920C" w14:textId="77777777" w:rsidR="008C584A" w:rsidRPr="008C584A" w:rsidRDefault="008C584A" w:rsidP="008C584A">
            <w:pPr>
              <w:spacing w:after="0" w:line="240" w:lineRule="auto"/>
              <w:jc w:val="right"/>
              <w:rPr>
                <w:rFonts w:ascii="Times New Roman" w:eastAsia="Times New Roman" w:hAnsi="Times New Roman" w:cs="Times New Roman"/>
                <w:snapToGrid w:val="0"/>
                <w:color w:val="000000"/>
                <w:sz w:val="15"/>
                <w:szCs w:val="15"/>
                <w:lang w:eastAsia="pl-PL"/>
              </w:rPr>
            </w:pPr>
          </w:p>
        </w:tc>
        <w:tc>
          <w:tcPr>
            <w:tcW w:w="471" w:type="pct"/>
            <w:shd w:val="clear" w:color="auto" w:fill="D9E2F3" w:themeFill="accent1" w:themeFillTint="33"/>
            <w:vAlign w:val="bottom"/>
          </w:tcPr>
          <w:p w14:paraId="4FCD9E37"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459" w:type="pct"/>
            <w:gridSpan w:val="2"/>
            <w:shd w:val="clear" w:color="auto" w:fill="D9E2F3" w:themeFill="accent1" w:themeFillTint="33"/>
            <w:vAlign w:val="bottom"/>
          </w:tcPr>
          <w:p w14:paraId="1E3B853D"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72" w:type="pct"/>
            <w:shd w:val="clear" w:color="auto" w:fill="D9E2F3" w:themeFill="accent1" w:themeFillTint="33"/>
            <w:vAlign w:val="bottom"/>
          </w:tcPr>
          <w:p w14:paraId="6C734628"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449" w:type="pct"/>
            <w:gridSpan w:val="2"/>
            <w:shd w:val="clear" w:color="auto" w:fill="D9E2F3" w:themeFill="accent1" w:themeFillTint="33"/>
            <w:vAlign w:val="bottom"/>
          </w:tcPr>
          <w:p w14:paraId="1D5753EF"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393" w:type="pct"/>
            <w:shd w:val="clear" w:color="auto" w:fill="D9E2F3" w:themeFill="accent1" w:themeFillTint="33"/>
            <w:vAlign w:val="bottom"/>
          </w:tcPr>
          <w:p w14:paraId="3A3BC4C7"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394" w:type="pct"/>
            <w:shd w:val="clear" w:color="auto" w:fill="D9E2F3" w:themeFill="accent1" w:themeFillTint="33"/>
            <w:vAlign w:val="bottom"/>
          </w:tcPr>
          <w:p w14:paraId="21F8CEAD"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08" w:type="pct"/>
            <w:shd w:val="clear" w:color="auto" w:fill="D9E2F3" w:themeFill="accent1" w:themeFillTint="33"/>
            <w:vAlign w:val="bottom"/>
          </w:tcPr>
          <w:p w14:paraId="611D8828"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461" w:type="pct"/>
            <w:gridSpan w:val="2"/>
            <w:shd w:val="clear" w:color="auto" w:fill="D9E2F3" w:themeFill="accent1" w:themeFillTint="33"/>
            <w:vAlign w:val="bottom"/>
          </w:tcPr>
          <w:p w14:paraId="44FD410B"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47" w:type="pct"/>
            <w:gridSpan w:val="2"/>
            <w:shd w:val="clear" w:color="auto" w:fill="D9E2F3" w:themeFill="accent1" w:themeFillTint="33"/>
            <w:vAlign w:val="bottom"/>
          </w:tcPr>
          <w:p w14:paraId="42B52D05"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w:t>
            </w:r>
          </w:p>
          <w:p w14:paraId="3B8CF37B"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bieżące</w:t>
            </w:r>
          </w:p>
        </w:tc>
        <w:tc>
          <w:tcPr>
            <w:tcW w:w="400" w:type="pct"/>
            <w:shd w:val="clear" w:color="auto" w:fill="D9E2F3" w:themeFill="accent1" w:themeFillTint="33"/>
            <w:vAlign w:val="bottom"/>
          </w:tcPr>
          <w:p w14:paraId="29658748"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r>
      <w:tr w:rsidR="008C584A" w:rsidRPr="008C584A" w14:paraId="4E6C1B11" w14:textId="77777777" w:rsidTr="00A17EB1">
        <w:trPr>
          <w:trHeight w:val="256"/>
        </w:trPr>
        <w:tc>
          <w:tcPr>
            <w:tcW w:w="646" w:type="pct"/>
            <w:vAlign w:val="bottom"/>
          </w:tcPr>
          <w:p w14:paraId="2240AB1D"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 xml:space="preserve">wydatki ogółem </w:t>
            </w:r>
          </w:p>
        </w:tc>
        <w:tc>
          <w:tcPr>
            <w:tcW w:w="471" w:type="pct"/>
            <w:vAlign w:val="bottom"/>
          </w:tcPr>
          <w:p w14:paraId="25F142E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87 334 315</w:t>
            </w:r>
          </w:p>
        </w:tc>
        <w:tc>
          <w:tcPr>
            <w:tcW w:w="459" w:type="pct"/>
            <w:gridSpan w:val="2"/>
            <w:vAlign w:val="bottom"/>
          </w:tcPr>
          <w:p w14:paraId="33A0DA82"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99 115 714</w:t>
            </w:r>
          </w:p>
        </w:tc>
        <w:tc>
          <w:tcPr>
            <w:tcW w:w="472" w:type="pct"/>
            <w:vAlign w:val="bottom"/>
          </w:tcPr>
          <w:p w14:paraId="3CEB7C5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89 218 534</w:t>
            </w:r>
          </w:p>
        </w:tc>
        <w:tc>
          <w:tcPr>
            <w:tcW w:w="449" w:type="pct"/>
            <w:gridSpan w:val="2"/>
            <w:vAlign w:val="bottom"/>
          </w:tcPr>
          <w:p w14:paraId="310E5B58"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101 254 114</w:t>
            </w:r>
          </w:p>
        </w:tc>
        <w:tc>
          <w:tcPr>
            <w:tcW w:w="393" w:type="pct"/>
            <w:vAlign w:val="bottom"/>
          </w:tcPr>
          <w:p w14:paraId="0ED2FFDC"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111 663 679</w:t>
            </w:r>
          </w:p>
        </w:tc>
        <w:tc>
          <w:tcPr>
            <w:tcW w:w="394" w:type="pct"/>
            <w:vAlign w:val="bottom"/>
          </w:tcPr>
          <w:p w14:paraId="4FAE59F0"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127 877 245</w:t>
            </w:r>
          </w:p>
        </w:tc>
        <w:tc>
          <w:tcPr>
            <w:tcW w:w="408" w:type="pct"/>
            <w:vAlign w:val="bottom"/>
          </w:tcPr>
          <w:p w14:paraId="6EBD1CCF"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117 669 625</w:t>
            </w:r>
          </w:p>
        </w:tc>
        <w:tc>
          <w:tcPr>
            <w:tcW w:w="461" w:type="pct"/>
            <w:gridSpan w:val="2"/>
            <w:vAlign w:val="bottom"/>
          </w:tcPr>
          <w:p w14:paraId="68071C1F"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135 567 175</w:t>
            </w:r>
          </w:p>
        </w:tc>
        <w:tc>
          <w:tcPr>
            <w:tcW w:w="447" w:type="pct"/>
            <w:gridSpan w:val="2"/>
            <w:vAlign w:val="bottom"/>
          </w:tcPr>
          <w:p w14:paraId="73CEB2E4"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134 845 434</w:t>
            </w:r>
          </w:p>
        </w:tc>
        <w:tc>
          <w:tcPr>
            <w:tcW w:w="400" w:type="pct"/>
            <w:vAlign w:val="bottom"/>
          </w:tcPr>
          <w:p w14:paraId="5BB1C8A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152 307 918</w:t>
            </w:r>
          </w:p>
        </w:tc>
      </w:tr>
      <w:tr w:rsidR="008C584A" w:rsidRPr="008C584A" w14:paraId="60408C2C" w14:textId="77777777" w:rsidTr="00A17EB1">
        <w:trPr>
          <w:trHeight w:val="256"/>
        </w:trPr>
        <w:tc>
          <w:tcPr>
            <w:tcW w:w="646" w:type="pct"/>
            <w:vAlign w:val="bottom"/>
          </w:tcPr>
          <w:p w14:paraId="245737F0"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wydatki bieżące</w:t>
            </w:r>
          </w:p>
        </w:tc>
        <w:tc>
          <w:tcPr>
            <w:tcW w:w="471" w:type="pct"/>
            <w:vAlign w:val="bottom"/>
          </w:tcPr>
          <w:p w14:paraId="4109C715"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73 405 205</w:t>
            </w:r>
          </w:p>
        </w:tc>
        <w:tc>
          <w:tcPr>
            <w:tcW w:w="459" w:type="pct"/>
            <w:gridSpan w:val="2"/>
            <w:vAlign w:val="bottom"/>
          </w:tcPr>
          <w:p w14:paraId="2F2742C0"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83 307 567</w:t>
            </w:r>
          </w:p>
        </w:tc>
        <w:tc>
          <w:tcPr>
            <w:tcW w:w="472" w:type="pct"/>
            <w:vAlign w:val="bottom"/>
          </w:tcPr>
          <w:p w14:paraId="10389C97"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75 588 387</w:t>
            </w:r>
          </w:p>
        </w:tc>
        <w:tc>
          <w:tcPr>
            <w:tcW w:w="449" w:type="pct"/>
            <w:gridSpan w:val="2"/>
            <w:vAlign w:val="bottom"/>
          </w:tcPr>
          <w:p w14:paraId="66DC025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85 785 260</w:t>
            </w:r>
          </w:p>
        </w:tc>
        <w:tc>
          <w:tcPr>
            <w:tcW w:w="393" w:type="pct"/>
            <w:vAlign w:val="bottom"/>
          </w:tcPr>
          <w:p w14:paraId="21532B10"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97 217 702</w:t>
            </w:r>
          </w:p>
        </w:tc>
        <w:tc>
          <w:tcPr>
            <w:tcW w:w="394" w:type="pct"/>
            <w:vAlign w:val="bottom"/>
          </w:tcPr>
          <w:p w14:paraId="0EA7BBA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111 333 713</w:t>
            </w:r>
          </w:p>
        </w:tc>
        <w:tc>
          <w:tcPr>
            <w:tcW w:w="408" w:type="pct"/>
            <w:vAlign w:val="bottom"/>
          </w:tcPr>
          <w:p w14:paraId="53D71ABC"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104 861 393</w:t>
            </w:r>
          </w:p>
        </w:tc>
        <w:tc>
          <w:tcPr>
            <w:tcW w:w="461" w:type="pct"/>
            <w:gridSpan w:val="2"/>
            <w:vAlign w:val="bottom"/>
          </w:tcPr>
          <w:p w14:paraId="7E297E0D"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120 810 811</w:t>
            </w:r>
          </w:p>
        </w:tc>
        <w:tc>
          <w:tcPr>
            <w:tcW w:w="447" w:type="pct"/>
            <w:gridSpan w:val="2"/>
            <w:vAlign w:val="bottom"/>
          </w:tcPr>
          <w:p w14:paraId="18D5BE2C"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117 278 983</w:t>
            </w:r>
          </w:p>
        </w:tc>
        <w:tc>
          <w:tcPr>
            <w:tcW w:w="400" w:type="pct"/>
            <w:vAlign w:val="bottom"/>
          </w:tcPr>
          <w:p w14:paraId="5AED64C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132 466 611</w:t>
            </w:r>
          </w:p>
        </w:tc>
      </w:tr>
      <w:tr w:rsidR="008C584A" w:rsidRPr="008C584A" w14:paraId="7EDD6E27" w14:textId="77777777" w:rsidTr="00A17EB1">
        <w:trPr>
          <w:trHeight w:val="405"/>
        </w:trPr>
        <w:tc>
          <w:tcPr>
            <w:tcW w:w="646" w:type="pct"/>
            <w:vAlign w:val="bottom"/>
          </w:tcPr>
          <w:p w14:paraId="274E5851"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wydatki inwestycyjne</w:t>
            </w:r>
          </w:p>
        </w:tc>
        <w:tc>
          <w:tcPr>
            <w:tcW w:w="471" w:type="pct"/>
            <w:vAlign w:val="bottom"/>
          </w:tcPr>
          <w:p w14:paraId="039ED739"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13 929 110</w:t>
            </w:r>
          </w:p>
        </w:tc>
        <w:tc>
          <w:tcPr>
            <w:tcW w:w="459" w:type="pct"/>
            <w:gridSpan w:val="2"/>
            <w:vAlign w:val="bottom"/>
          </w:tcPr>
          <w:p w14:paraId="7FB3573B"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15 808 147</w:t>
            </w:r>
          </w:p>
        </w:tc>
        <w:tc>
          <w:tcPr>
            <w:tcW w:w="472" w:type="pct"/>
            <w:vAlign w:val="bottom"/>
          </w:tcPr>
          <w:p w14:paraId="1E26751C"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13 630 147</w:t>
            </w:r>
          </w:p>
        </w:tc>
        <w:tc>
          <w:tcPr>
            <w:tcW w:w="449" w:type="pct"/>
            <w:gridSpan w:val="2"/>
            <w:vAlign w:val="bottom"/>
          </w:tcPr>
          <w:p w14:paraId="4467849E"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15 468 854</w:t>
            </w:r>
          </w:p>
        </w:tc>
        <w:tc>
          <w:tcPr>
            <w:tcW w:w="393" w:type="pct"/>
            <w:vAlign w:val="bottom"/>
          </w:tcPr>
          <w:p w14:paraId="52578C3F"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14 445 977</w:t>
            </w:r>
          </w:p>
        </w:tc>
        <w:tc>
          <w:tcPr>
            <w:tcW w:w="394" w:type="pct"/>
            <w:vAlign w:val="bottom"/>
          </w:tcPr>
          <w:p w14:paraId="03AC277B"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16 543 533</w:t>
            </w:r>
          </w:p>
        </w:tc>
        <w:tc>
          <w:tcPr>
            <w:tcW w:w="408" w:type="pct"/>
            <w:vAlign w:val="bottom"/>
          </w:tcPr>
          <w:p w14:paraId="7E733DF2"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12 808 232</w:t>
            </w:r>
          </w:p>
        </w:tc>
        <w:tc>
          <w:tcPr>
            <w:tcW w:w="461" w:type="pct"/>
            <w:gridSpan w:val="2"/>
            <w:vAlign w:val="bottom"/>
          </w:tcPr>
          <w:p w14:paraId="261C69D2"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14 756 364</w:t>
            </w:r>
          </w:p>
        </w:tc>
        <w:tc>
          <w:tcPr>
            <w:tcW w:w="447" w:type="pct"/>
            <w:gridSpan w:val="2"/>
            <w:vAlign w:val="bottom"/>
          </w:tcPr>
          <w:p w14:paraId="2B146F56"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17 566 452</w:t>
            </w:r>
          </w:p>
        </w:tc>
        <w:tc>
          <w:tcPr>
            <w:tcW w:w="400" w:type="pct"/>
            <w:vAlign w:val="bottom"/>
          </w:tcPr>
          <w:p w14:paraId="4A000C1C"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19 841 307</w:t>
            </w:r>
          </w:p>
        </w:tc>
      </w:tr>
      <w:tr w:rsidR="008C584A" w:rsidRPr="008C584A" w14:paraId="64A21BA8" w14:textId="77777777" w:rsidTr="005155C7">
        <w:trPr>
          <w:trHeight w:val="489"/>
        </w:trPr>
        <w:tc>
          <w:tcPr>
            <w:tcW w:w="646" w:type="pct"/>
            <w:vMerge w:val="restart"/>
            <w:shd w:val="clear" w:color="auto" w:fill="D9E2F3" w:themeFill="accent1" w:themeFillTint="33"/>
            <w:vAlign w:val="bottom"/>
          </w:tcPr>
          <w:p w14:paraId="0FD7C229"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Wyszczególnienie</w:t>
            </w:r>
          </w:p>
        </w:tc>
        <w:tc>
          <w:tcPr>
            <w:tcW w:w="930" w:type="pct"/>
            <w:gridSpan w:val="3"/>
            <w:shd w:val="clear" w:color="auto" w:fill="D9E2F3" w:themeFill="accent1" w:themeFillTint="33"/>
            <w:vAlign w:val="bottom"/>
          </w:tcPr>
          <w:p w14:paraId="63405943" w14:textId="13B1EBBD"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2019</w:t>
            </w:r>
          </w:p>
        </w:tc>
        <w:tc>
          <w:tcPr>
            <w:tcW w:w="921" w:type="pct"/>
            <w:gridSpan w:val="3"/>
            <w:shd w:val="clear" w:color="auto" w:fill="D9E2F3" w:themeFill="accent1" w:themeFillTint="33"/>
            <w:vAlign w:val="bottom"/>
          </w:tcPr>
          <w:p w14:paraId="36AD4C49" w14:textId="050C1E4B"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2020</w:t>
            </w:r>
          </w:p>
        </w:tc>
        <w:tc>
          <w:tcPr>
            <w:tcW w:w="787" w:type="pct"/>
            <w:gridSpan w:val="2"/>
            <w:shd w:val="clear" w:color="auto" w:fill="D9E2F3" w:themeFill="accent1" w:themeFillTint="33"/>
            <w:vAlign w:val="bottom"/>
          </w:tcPr>
          <w:p w14:paraId="31546A68" w14:textId="5114F7BF"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2021</w:t>
            </w:r>
          </w:p>
        </w:tc>
        <w:tc>
          <w:tcPr>
            <w:tcW w:w="485" w:type="pct"/>
            <w:gridSpan w:val="2"/>
            <w:vMerge w:val="restart"/>
            <w:shd w:val="clear" w:color="auto" w:fill="D9E2F3" w:themeFill="accent1" w:themeFillTint="33"/>
            <w:vAlign w:val="bottom"/>
          </w:tcPr>
          <w:p w14:paraId="0E82E21D" w14:textId="6D1854DD"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2022</w:t>
            </w:r>
          </w:p>
          <w:p w14:paraId="4E292D34"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w:t>
            </w:r>
          </w:p>
          <w:p w14:paraId="1CB80659"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bieżące i  stałe</w:t>
            </w:r>
          </w:p>
        </w:tc>
        <w:tc>
          <w:tcPr>
            <w:tcW w:w="416" w:type="pct"/>
            <w:gridSpan w:val="2"/>
            <w:vMerge w:val="restart"/>
            <w:shd w:val="clear" w:color="auto" w:fill="D9E2F3" w:themeFill="accent1" w:themeFillTint="33"/>
            <w:vAlign w:val="bottom"/>
          </w:tcPr>
          <w:p w14:paraId="5AD851BB"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Dynamika 2018/2014 2012=100</w:t>
            </w:r>
          </w:p>
          <w:p w14:paraId="37C46520"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15" w:type="pct"/>
            <w:vMerge w:val="restart"/>
            <w:shd w:val="clear" w:color="auto" w:fill="D9E2F3" w:themeFill="accent1" w:themeFillTint="33"/>
            <w:vAlign w:val="bottom"/>
          </w:tcPr>
          <w:p w14:paraId="04684F93"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 xml:space="preserve">Dynamika </w:t>
            </w:r>
          </w:p>
          <w:p w14:paraId="30C170CD"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2022/2018</w:t>
            </w:r>
          </w:p>
          <w:p w14:paraId="08113D5F"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2016=100</w:t>
            </w:r>
          </w:p>
          <w:p w14:paraId="186C1146"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00" w:type="pct"/>
            <w:vMerge w:val="restart"/>
            <w:shd w:val="clear" w:color="auto" w:fill="D9E2F3" w:themeFill="accent1" w:themeFillTint="33"/>
            <w:vAlign w:val="bottom"/>
          </w:tcPr>
          <w:p w14:paraId="04DF60E8"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Dynamika 2022/2014 2012=100</w:t>
            </w:r>
          </w:p>
          <w:p w14:paraId="089559C9"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r>
      <w:tr w:rsidR="008C584A" w:rsidRPr="008C584A" w14:paraId="647C5D60" w14:textId="77777777" w:rsidTr="005155C7">
        <w:trPr>
          <w:trHeight w:val="340"/>
        </w:trPr>
        <w:tc>
          <w:tcPr>
            <w:tcW w:w="646" w:type="pct"/>
            <w:vMerge/>
            <w:shd w:val="clear" w:color="auto" w:fill="E6E6E6"/>
            <w:vAlign w:val="bottom"/>
          </w:tcPr>
          <w:p w14:paraId="3A0BD93E" w14:textId="77777777" w:rsidR="008C584A" w:rsidRPr="008C584A" w:rsidRDefault="008C584A" w:rsidP="008C584A">
            <w:pPr>
              <w:spacing w:after="0" w:line="240" w:lineRule="auto"/>
              <w:jc w:val="right"/>
              <w:rPr>
                <w:rFonts w:ascii="Times New Roman" w:eastAsia="Times New Roman" w:hAnsi="Times New Roman" w:cs="Times New Roman"/>
                <w:snapToGrid w:val="0"/>
                <w:color w:val="000000"/>
                <w:sz w:val="15"/>
                <w:szCs w:val="15"/>
                <w:lang w:eastAsia="pl-PL"/>
              </w:rPr>
            </w:pPr>
          </w:p>
        </w:tc>
        <w:tc>
          <w:tcPr>
            <w:tcW w:w="521" w:type="pct"/>
            <w:gridSpan w:val="2"/>
            <w:shd w:val="clear" w:color="auto" w:fill="D9E2F3" w:themeFill="accent1" w:themeFillTint="33"/>
            <w:vAlign w:val="bottom"/>
          </w:tcPr>
          <w:p w14:paraId="7399F7DC"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409" w:type="pct"/>
            <w:shd w:val="clear" w:color="auto" w:fill="D9E2F3" w:themeFill="accent1" w:themeFillTint="33"/>
            <w:vAlign w:val="bottom"/>
          </w:tcPr>
          <w:p w14:paraId="74C6B90A"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98" w:type="pct"/>
            <w:gridSpan w:val="2"/>
            <w:shd w:val="clear" w:color="auto" w:fill="D9E2F3" w:themeFill="accent1" w:themeFillTint="33"/>
            <w:vAlign w:val="bottom"/>
          </w:tcPr>
          <w:p w14:paraId="06B5BA3C"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423" w:type="pct"/>
            <w:shd w:val="clear" w:color="auto" w:fill="D9E2F3" w:themeFill="accent1" w:themeFillTint="33"/>
            <w:vAlign w:val="bottom"/>
          </w:tcPr>
          <w:p w14:paraId="04B63E2E"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393" w:type="pct"/>
            <w:shd w:val="clear" w:color="auto" w:fill="D9E2F3" w:themeFill="accent1" w:themeFillTint="33"/>
            <w:vAlign w:val="bottom"/>
          </w:tcPr>
          <w:p w14:paraId="5E7C2EE5"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bieżące</w:t>
            </w:r>
          </w:p>
        </w:tc>
        <w:tc>
          <w:tcPr>
            <w:tcW w:w="394" w:type="pct"/>
            <w:shd w:val="clear" w:color="auto" w:fill="D9E2F3" w:themeFill="accent1" w:themeFillTint="33"/>
            <w:vAlign w:val="bottom"/>
          </w:tcPr>
          <w:p w14:paraId="5D1FEC45"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ceny stałe</w:t>
            </w:r>
          </w:p>
        </w:tc>
        <w:tc>
          <w:tcPr>
            <w:tcW w:w="485" w:type="pct"/>
            <w:gridSpan w:val="2"/>
            <w:vMerge/>
            <w:shd w:val="clear" w:color="auto" w:fill="E6E6E6"/>
            <w:vAlign w:val="bottom"/>
          </w:tcPr>
          <w:p w14:paraId="2CB7EE2E"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p>
        </w:tc>
        <w:tc>
          <w:tcPr>
            <w:tcW w:w="416" w:type="pct"/>
            <w:gridSpan w:val="2"/>
            <w:vMerge/>
            <w:shd w:val="clear" w:color="auto" w:fill="E6E6E6"/>
            <w:vAlign w:val="bottom"/>
          </w:tcPr>
          <w:p w14:paraId="27392FC2"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p>
        </w:tc>
        <w:tc>
          <w:tcPr>
            <w:tcW w:w="415" w:type="pct"/>
            <w:vMerge/>
            <w:shd w:val="clear" w:color="auto" w:fill="E6E6E6"/>
            <w:vAlign w:val="bottom"/>
          </w:tcPr>
          <w:p w14:paraId="57E9DF2C"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p>
        </w:tc>
        <w:tc>
          <w:tcPr>
            <w:tcW w:w="400" w:type="pct"/>
            <w:vMerge/>
            <w:shd w:val="clear" w:color="auto" w:fill="E6E6E6"/>
            <w:vAlign w:val="bottom"/>
          </w:tcPr>
          <w:p w14:paraId="42236F94" w14:textId="77777777" w:rsidR="008C584A" w:rsidRPr="008C584A" w:rsidRDefault="008C584A" w:rsidP="008C584A">
            <w:pPr>
              <w:spacing w:after="0" w:line="240" w:lineRule="auto"/>
              <w:jc w:val="center"/>
              <w:rPr>
                <w:rFonts w:ascii="Times New Roman" w:eastAsia="Times New Roman" w:hAnsi="Times New Roman" w:cs="Times New Roman"/>
                <w:snapToGrid w:val="0"/>
                <w:color w:val="000000"/>
                <w:sz w:val="15"/>
                <w:szCs w:val="15"/>
                <w:lang w:eastAsia="pl-PL"/>
              </w:rPr>
            </w:pPr>
          </w:p>
        </w:tc>
      </w:tr>
      <w:tr w:rsidR="008C584A" w:rsidRPr="008C584A" w14:paraId="1625624B" w14:textId="77777777" w:rsidTr="00A17EB1">
        <w:trPr>
          <w:trHeight w:val="256"/>
        </w:trPr>
        <w:tc>
          <w:tcPr>
            <w:tcW w:w="646" w:type="pct"/>
            <w:vAlign w:val="bottom"/>
          </w:tcPr>
          <w:p w14:paraId="12171933"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 xml:space="preserve">wydatki ogółem </w:t>
            </w:r>
          </w:p>
        </w:tc>
        <w:tc>
          <w:tcPr>
            <w:tcW w:w="521" w:type="pct"/>
            <w:gridSpan w:val="2"/>
            <w:vAlign w:val="bottom"/>
          </w:tcPr>
          <w:p w14:paraId="1B2E6D88"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148 857 765</w:t>
            </w:r>
          </w:p>
        </w:tc>
        <w:tc>
          <w:tcPr>
            <w:tcW w:w="409" w:type="pct"/>
            <w:vAlign w:val="bottom"/>
          </w:tcPr>
          <w:p w14:paraId="5F2CB021"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165 485 178</w:t>
            </w:r>
          </w:p>
        </w:tc>
        <w:tc>
          <w:tcPr>
            <w:tcW w:w="498" w:type="pct"/>
            <w:gridSpan w:val="2"/>
            <w:vAlign w:val="bottom"/>
          </w:tcPr>
          <w:p w14:paraId="506DC4E5"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165 017 382</w:t>
            </w:r>
          </w:p>
        </w:tc>
        <w:tc>
          <w:tcPr>
            <w:tcW w:w="423" w:type="pct"/>
            <w:vAlign w:val="bottom"/>
          </w:tcPr>
          <w:p w14:paraId="1E27560B"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179 324 389</w:t>
            </w:r>
          </w:p>
        </w:tc>
        <w:tc>
          <w:tcPr>
            <w:tcW w:w="393" w:type="pct"/>
            <w:vAlign w:val="bottom"/>
          </w:tcPr>
          <w:p w14:paraId="661C9718"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169 981 447</w:t>
            </w:r>
          </w:p>
        </w:tc>
        <w:tc>
          <w:tcPr>
            <w:tcW w:w="394" w:type="pct"/>
            <w:vAlign w:val="bottom"/>
          </w:tcPr>
          <w:p w14:paraId="71DD6F46"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178 650 501</w:t>
            </w:r>
          </w:p>
        </w:tc>
        <w:tc>
          <w:tcPr>
            <w:tcW w:w="485" w:type="pct"/>
            <w:gridSpan w:val="2"/>
            <w:vAlign w:val="bottom"/>
          </w:tcPr>
          <w:p w14:paraId="5702BE6C"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214 984 637</w:t>
            </w:r>
          </w:p>
        </w:tc>
        <w:tc>
          <w:tcPr>
            <w:tcW w:w="416" w:type="pct"/>
            <w:gridSpan w:val="2"/>
            <w:vAlign w:val="center"/>
          </w:tcPr>
          <w:p w14:paraId="1F5027F4"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153,67</w:t>
            </w:r>
          </w:p>
        </w:tc>
        <w:tc>
          <w:tcPr>
            <w:tcW w:w="415" w:type="pct"/>
            <w:vAlign w:val="center"/>
          </w:tcPr>
          <w:p w14:paraId="611972A3"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141,15</w:t>
            </w:r>
          </w:p>
        </w:tc>
        <w:tc>
          <w:tcPr>
            <w:tcW w:w="400" w:type="pct"/>
            <w:vAlign w:val="center"/>
          </w:tcPr>
          <w:p w14:paraId="284FBD7E"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216,90</w:t>
            </w:r>
          </w:p>
        </w:tc>
      </w:tr>
      <w:tr w:rsidR="008C584A" w:rsidRPr="008C584A" w14:paraId="2E6CDE5D" w14:textId="77777777" w:rsidTr="00A17EB1">
        <w:trPr>
          <w:trHeight w:val="256"/>
        </w:trPr>
        <w:tc>
          <w:tcPr>
            <w:tcW w:w="646" w:type="pct"/>
            <w:vAlign w:val="bottom"/>
          </w:tcPr>
          <w:p w14:paraId="333890B8"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wydatki bieżące</w:t>
            </w:r>
          </w:p>
        </w:tc>
        <w:tc>
          <w:tcPr>
            <w:tcW w:w="521" w:type="pct"/>
            <w:gridSpan w:val="2"/>
            <w:vAlign w:val="bottom"/>
          </w:tcPr>
          <w:p w14:paraId="1C14A289"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137 973 434</w:t>
            </w:r>
          </w:p>
        </w:tc>
        <w:tc>
          <w:tcPr>
            <w:tcW w:w="409" w:type="pct"/>
            <w:vAlign w:val="bottom"/>
          </w:tcPr>
          <w:p w14:paraId="5EAC2461"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153 385 066</w:t>
            </w:r>
          </w:p>
        </w:tc>
        <w:tc>
          <w:tcPr>
            <w:tcW w:w="498" w:type="pct"/>
            <w:gridSpan w:val="2"/>
            <w:vAlign w:val="bottom"/>
          </w:tcPr>
          <w:p w14:paraId="0CFC8970"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152 200 750</w:t>
            </w:r>
          </w:p>
        </w:tc>
        <w:tc>
          <w:tcPr>
            <w:tcW w:w="423" w:type="pct"/>
            <w:vAlign w:val="bottom"/>
          </w:tcPr>
          <w:p w14:paraId="4F314C41"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165 396 555</w:t>
            </w:r>
          </w:p>
        </w:tc>
        <w:tc>
          <w:tcPr>
            <w:tcW w:w="393" w:type="pct"/>
            <w:vAlign w:val="bottom"/>
          </w:tcPr>
          <w:p w14:paraId="314726CA"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156 060 721</w:t>
            </w:r>
          </w:p>
        </w:tc>
        <w:tc>
          <w:tcPr>
            <w:tcW w:w="394" w:type="pct"/>
            <w:vAlign w:val="bottom"/>
          </w:tcPr>
          <w:p w14:paraId="11A7F0AC"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164 019 818</w:t>
            </w:r>
          </w:p>
        </w:tc>
        <w:tc>
          <w:tcPr>
            <w:tcW w:w="485" w:type="pct"/>
            <w:gridSpan w:val="2"/>
            <w:vAlign w:val="bottom"/>
          </w:tcPr>
          <w:p w14:paraId="72C8AF6D"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177 561 031</w:t>
            </w:r>
          </w:p>
        </w:tc>
        <w:tc>
          <w:tcPr>
            <w:tcW w:w="416" w:type="pct"/>
            <w:gridSpan w:val="2"/>
            <w:vAlign w:val="center"/>
          </w:tcPr>
          <w:p w14:paraId="17FEEA9A"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159,01</w:t>
            </w:r>
          </w:p>
        </w:tc>
        <w:tc>
          <w:tcPr>
            <w:tcW w:w="415" w:type="pct"/>
            <w:vAlign w:val="center"/>
          </w:tcPr>
          <w:p w14:paraId="297ACF1E"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134,04</w:t>
            </w:r>
          </w:p>
        </w:tc>
        <w:tc>
          <w:tcPr>
            <w:tcW w:w="400" w:type="pct"/>
            <w:vAlign w:val="center"/>
          </w:tcPr>
          <w:p w14:paraId="67687C13"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213,14</w:t>
            </w:r>
          </w:p>
        </w:tc>
      </w:tr>
      <w:tr w:rsidR="008C584A" w:rsidRPr="008C584A" w14:paraId="3D2205B2" w14:textId="77777777" w:rsidTr="00A17EB1">
        <w:trPr>
          <w:trHeight w:val="256"/>
        </w:trPr>
        <w:tc>
          <w:tcPr>
            <w:tcW w:w="646" w:type="pct"/>
            <w:vAlign w:val="bottom"/>
          </w:tcPr>
          <w:p w14:paraId="219B5A1F" w14:textId="77777777" w:rsidR="008C584A" w:rsidRPr="008C584A" w:rsidRDefault="008C584A" w:rsidP="008C584A">
            <w:pPr>
              <w:spacing w:after="0" w:line="240" w:lineRule="auto"/>
              <w:rPr>
                <w:rFonts w:ascii="Times New Roman" w:eastAsia="Times New Roman" w:hAnsi="Times New Roman" w:cs="Times New Roman"/>
                <w:snapToGrid w:val="0"/>
                <w:color w:val="000000"/>
                <w:sz w:val="15"/>
                <w:szCs w:val="15"/>
                <w:lang w:eastAsia="pl-PL"/>
              </w:rPr>
            </w:pPr>
            <w:r w:rsidRPr="008C584A">
              <w:rPr>
                <w:rFonts w:ascii="Times New Roman" w:eastAsia="Times New Roman" w:hAnsi="Times New Roman" w:cs="Times New Roman"/>
                <w:snapToGrid w:val="0"/>
                <w:color w:val="000000"/>
                <w:sz w:val="15"/>
                <w:szCs w:val="15"/>
                <w:lang w:eastAsia="pl-PL"/>
              </w:rPr>
              <w:t>wydatki inwestycyjne</w:t>
            </w:r>
          </w:p>
        </w:tc>
        <w:tc>
          <w:tcPr>
            <w:tcW w:w="521" w:type="pct"/>
            <w:gridSpan w:val="2"/>
            <w:vAlign w:val="bottom"/>
          </w:tcPr>
          <w:p w14:paraId="5FDD23E9"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10 884 331</w:t>
            </w:r>
          </w:p>
        </w:tc>
        <w:tc>
          <w:tcPr>
            <w:tcW w:w="409" w:type="pct"/>
            <w:vAlign w:val="bottom"/>
          </w:tcPr>
          <w:p w14:paraId="41B79AE1"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12 100 111</w:t>
            </w:r>
          </w:p>
        </w:tc>
        <w:tc>
          <w:tcPr>
            <w:tcW w:w="498" w:type="pct"/>
            <w:gridSpan w:val="2"/>
            <w:vAlign w:val="bottom"/>
          </w:tcPr>
          <w:p w14:paraId="3BBD7F88"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12 816 631</w:t>
            </w:r>
          </w:p>
        </w:tc>
        <w:tc>
          <w:tcPr>
            <w:tcW w:w="423" w:type="pct"/>
            <w:vAlign w:val="bottom"/>
          </w:tcPr>
          <w:p w14:paraId="6FD25D6B"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13 927 833</w:t>
            </w:r>
          </w:p>
        </w:tc>
        <w:tc>
          <w:tcPr>
            <w:tcW w:w="393" w:type="pct"/>
            <w:vAlign w:val="bottom"/>
          </w:tcPr>
          <w:p w14:paraId="7456C9FA"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13 920 726</w:t>
            </w:r>
          </w:p>
        </w:tc>
        <w:tc>
          <w:tcPr>
            <w:tcW w:w="394" w:type="pct"/>
            <w:vAlign w:val="bottom"/>
          </w:tcPr>
          <w:p w14:paraId="408F829E"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14 630 683</w:t>
            </w:r>
          </w:p>
        </w:tc>
        <w:tc>
          <w:tcPr>
            <w:tcW w:w="485" w:type="pct"/>
            <w:gridSpan w:val="2"/>
            <w:vAlign w:val="bottom"/>
          </w:tcPr>
          <w:p w14:paraId="5C92B88B"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37 423 606</w:t>
            </w:r>
          </w:p>
        </w:tc>
        <w:tc>
          <w:tcPr>
            <w:tcW w:w="416" w:type="pct"/>
            <w:gridSpan w:val="2"/>
            <w:vAlign w:val="center"/>
          </w:tcPr>
          <w:p w14:paraId="03BEA1D6"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125,51</w:t>
            </w:r>
          </w:p>
        </w:tc>
        <w:tc>
          <w:tcPr>
            <w:tcW w:w="415" w:type="pct"/>
            <w:vAlign w:val="center"/>
          </w:tcPr>
          <w:p w14:paraId="43535374" w14:textId="77777777" w:rsidR="008C584A" w:rsidRPr="008C584A" w:rsidRDefault="008C584A" w:rsidP="008C584A">
            <w:pPr>
              <w:spacing w:after="0" w:line="240" w:lineRule="auto"/>
              <w:jc w:val="right"/>
              <w:rPr>
                <w:rFonts w:ascii="Times New Roman" w:eastAsia="Times New Roman" w:hAnsi="Times New Roman" w:cs="Times New Roman"/>
                <w:sz w:val="15"/>
                <w:szCs w:val="15"/>
                <w:lang w:eastAsia="pl-PL"/>
              </w:rPr>
            </w:pPr>
            <w:r w:rsidRPr="008C584A">
              <w:rPr>
                <w:rFonts w:ascii="Times New Roman" w:eastAsia="Times New Roman" w:hAnsi="Times New Roman" w:cs="Times New Roman"/>
                <w:sz w:val="15"/>
                <w:szCs w:val="15"/>
                <w:lang w:eastAsia="pl-PL"/>
              </w:rPr>
              <w:t>188,61</w:t>
            </w:r>
          </w:p>
        </w:tc>
        <w:tc>
          <w:tcPr>
            <w:tcW w:w="400" w:type="pct"/>
            <w:vAlign w:val="center"/>
          </w:tcPr>
          <w:p w14:paraId="6EB55245" w14:textId="77777777" w:rsidR="008C584A" w:rsidRPr="008C584A" w:rsidRDefault="008C584A" w:rsidP="008C584A">
            <w:pPr>
              <w:spacing w:after="0" w:line="240" w:lineRule="auto"/>
              <w:jc w:val="right"/>
              <w:rPr>
                <w:rFonts w:ascii="Times New Roman" w:eastAsia="Times New Roman" w:hAnsi="Times New Roman" w:cs="Times New Roman"/>
                <w:color w:val="000000"/>
                <w:sz w:val="15"/>
                <w:szCs w:val="15"/>
                <w:lang w:eastAsia="pl-PL"/>
              </w:rPr>
            </w:pPr>
            <w:r w:rsidRPr="008C584A">
              <w:rPr>
                <w:rFonts w:ascii="Times New Roman" w:eastAsia="Times New Roman" w:hAnsi="Times New Roman" w:cs="Times New Roman"/>
                <w:color w:val="000000"/>
                <w:sz w:val="15"/>
                <w:szCs w:val="15"/>
                <w:lang w:eastAsia="pl-PL"/>
              </w:rPr>
              <w:t>236,74</w:t>
            </w:r>
          </w:p>
        </w:tc>
      </w:tr>
    </w:tbl>
    <w:p w14:paraId="5D415567" w14:textId="77777777" w:rsidR="008C584A" w:rsidRPr="00EB41D2" w:rsidRDefault="008C584A" w:rsidP="008C584A">
      <w:pPr>
        <w:spacing w:after="0" w:line="240" w:lineRule="auto"/>
        <w:rPr>
          <w:rFonts w:ascii="Times New Roman" w:eastAsia="Times New Roman" w:hAnsi="Times New Roman" w:cs="Times New Roman"/>
          <w:spacing w:val="-3"/>
          <w:sz w:val="24"/>
          <w:szCs w:val="24"/>
          <w:lang w:eastAsia="pl-PL"/>
        </w:rPr>
      </w:pPr>
      <w:r w:rsidRPr="00EB41D2">
        <w:rPr>
          <w:rFonts w:ascii="Times New Roman" w:eastAsia="Times New Roman" w:hAnsi="Times New Roman" w:cs="Times New Roman"/>
          <w:sz w:val="24"/>
          <w:szCs w:val="24"/>
          <w:lang w:eastAsia="pl-PL"/>
        </w:rPr>
        <w:t>Źródło: opracowanie własne na podstawie sprawozdań budżetowych Gminy Góra Kalwaria</w:t>
      </w:r>
      <w:r w:rsidRPr="00EB41D2">
        <w:rPr>
          <w:rFonts w:ascii="Times New Roman" w:eastAsia="Times New Roman" w:hAnsi="Times New Roman" w:cs="Times New Roman"/>
          <w:spacing w:val="-3"/>
          <w:sz w:val="24"/>
          <w:szCs w:val="24"/>
          <w:lang w:eastAsia="pl-PL"/>
        </w:rPr>
        <w:t xml:space="preserve"> </w:t>
      </w:r>
    </w:p>
    <w:p w14:paraId="2E764528" w14:textId="4E5037F6" w:rsidR="008C584A" w:rsidRDefault="008C584A" w:rsidP="008C584A">
      <w:pPr>
        <w:spacing w:after="0" w:line="240" w:lineRule="auto"/>
        <w:jc w:val="right"/>
        <w:rPr>
          <w:rFonts w:ascii="Times New Roman" w:eastAsia="Times New Roman" w:hAnsi="Times New Roman" w:cs="Times New Roman"/>
          <w:i/>
          <w:iCs/>
          <w:sz w:val="24"/>
          <w:szCs w:val="24"/>
          <w:lang w:eastAsia="pl-PL"/>
        </w:rPr>
      </w:pPr>
      <w:bookmarkStart w:id="50" w:name="_Hlk119636563"/>
    </w:p>
    <w:p w14:paraId="767FB414" w14:textId="1C2C49B2"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6A13F0D4" w14:textId="1A0AD394"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2C639116" w14:textId="02C1B4F0"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5C471AA6" w14:textId="2ED64CBE"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6E4AD7DB" w14:textId="4847EDA9"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0A75450A" w14:textId="4FE63F8A"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1637A1C9" w14:textId="6F46654C" w:rsidR="006B6EE8" w:rsidRDefault="006B6EE8" w:rsidP="00F206D5">
      <w:pPr>
        <w:spacing w:after="0" w:line="240" w:lineRule="auto"/>
        <w:rPr>
          <w:rFonts w:ascii="Times New Roman" w:eastAsia="Times New Roman" w:hAnsi="Times New Roman" w:cs="Times New Roman"/>
          <w:i/>
          <w:iCs/>
          <w:sz w:val="24"/>
          <w:szCs w:val="24"/>
          <w:lang w:eastAsia="pl-PL"/>
        </w:rPr>
      </w:pPr>
    </w:p>
    <w:p w14:paraId="7AA9072C" w14:textId="418518D9" w:rsidR="006B6EE8" w:rsidRDefault="006B6EE8" w:rsidP="008C584A">
      <w:pPr>
        <w:spacing w:after="0" w:line="240" w:lineRule="auto"/>
        <w:jc w:val="right"/>
        <w:rPr>
          <w:rFonts w:ascii="Times New Roman" w:eastAsia="Times New Roman" w:hAnsi="Times New Roman" w:cs="Times New Roman"/>
          <w:i/>
          <w:iCs/>
          <w:sz w:val="24"/>
          <w:szCs w:val="24"/>
          <w:lang w:eastAsia="pl-PL"/>
        </w:rPr>
      </w:pPr>
    </w:p>
    <w:p w14:paraId="2A170C08" w14:textId="77777777" w:rsidR="006B6EE8" w:rsidRPr="008C584A" w:rsidRDefault="006B6EE8" w:rsidP="008C584A">
      <w:pPr>
        <w:spacing w:after="0" w:line="240" w:lineRule="auto"/>
        <w:jc w:val="right"/>
        <w:rPr>
          <w:rFonts w:ascii="Times New Roman" w:eastAsia="Times New Roman" w:hAnsi="Times New Roman" w:cs="Times New Roman"/>
          <w:i/>
          <w:iCs/>
          <w:sz w:val="24"/>
          <w:szCs w:val="24"/>
          <w:lang w:eastAsia="pl-PL"/>
        </w:rPr>
      </w:pPr>
    </w:p>
    <w:p w14:paraId="0A47E939" w14:textId="60DD4D87" w:rsidR="008C584A" w:rsidRPr="008C584A" w:rsidRDefault="008C584A" w:rsidP="008C584A">
      <w:pPr>
        <w:spacing w:after="0" w:line="240" w:lineRule="auto"/>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      Ry</w:t>
      </w:r>
      <w:r w:rsidR="00926698">
        <w:rPr>
          <w:rFonts w:ascii="Times New Roman" w:eastAsia="Times New Roman" w:hAnsi="Times New Roman" w:cs="Times New Roman"/>
          <w:sz w:val="24"/>
          <w:szCs w:val="24"/>
          <w:lang w:eastAsia="pl-PL"/>
        </w:rPr>
        <w:t xml:space="preserve">c. 8. </w:t>
      </w:r>
      <w:r w:rsidRPr="008C584A">
        <w:rPr>
          <w:rFonts w:ascii="Times New Roman" w:eastAsia="Times New Roman" w:hAnsi="Times New Roman" w:cs="Times New Roman"/>
          <w:sz w:val="24"/>
          <w:szCs w:val="24"/>
          <w:lang w:eastAsia="pl-PL"/>
        </w:rPr>
        <w:t xml:space="preserve">   Wydatki budżetu gminy Góra Kalwaria w latach 2014-2022 w zł.</w:t>
      </w:r>
    </w:p>
    <w:bookmarkEnd w:id="50"/>
    <w:p w14:paraId="03CAF372" w14:textId="77777777" w:rsidR="008C584A" w:rsidRPr="008C584A" w:rsidRDefault="008C584A" w:rsidP="008C584A">
      <w:pPr>
        <w:spacing w:after="0" w:line="240" w:lineRule="auto"/>
        <w:jc w:val="center"/>
        <w:rPr>
          <w:rFonts w:ascii="Times New Roman" w:eastAsia="Times New Roman" w:hAnsi="Times New Roman" w:cs="Times New Roman"/>
          <w:sz w:val="20"/>
          <w:szCs w:val="20"/>
          <w:lang w:eastAsia="pl-PL"/>
        </w:rPr>
      </w:pPr>
      <w:r w:rsidRPr="008C584A">
        <w:rPr>
          <w:rFonts w:ascii="Times New Roman" w:eastAsia="Times New Roman" w:hAnsi="Times New Roman" w:cs="Times New Roman"/>
          <w:noProof/>
          <w:sz w:val="20"/>
          <w:szCs w:val="20"/>
          <w:lang w:eastAsia="pl-PL"/>
        </w:rPr>
        <w:drawing>
          <wp:inline distT="0" distB="0" distL="0" distR="0" wp14:anchorId="0D2D5D0F" wp14:editId="2057C179">
            <wp:extent cx="5292725" cy="2324100"/>
            <wp:effectExtent l="0" t="0" r="3175" b="0"/>
            <wp:docPr id="19" name="Wykres 19">
              <a:extLst xmlns:a="http://schemas.openxmlformats.org/drawingml/2006/main">
                <a:ext uri="{FF2B5EF4-FFF2-40B4-BE49-F238E27FC236}">
                  <a16:creationId xmlns:a16="http://schemas.microsoft.com/office/drawing/2014/main" id="{64F7071F-6FD5-4F76-8576-914AA886E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BEA17AF" w14:textId="77777777" w:rsidR="008C584A" w:rsidRPr="00EB41D2" w:rsidRDefault="008C584A" w:rsidP="008C584A">
      <w:pPr>
        <w:spacing w:after="0" w:line="240"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0"/>
          <w:szCs w:val="20"/>
          <w:lang w:eastAsia="pl-PL"/>
        </w:rPr>
        <w:t xml:space="preserve">        </w:t>
      </w:r>
      <w:r w:rsidRPr="00EB41D2">
        <w:rPr>
          <w:rFonts w:ascii="Times New Roman" w:eastAsia="Times New Roman" w:hAnsi="Times New Roman" w:cs="Times New Roman"/>
          <w:sz w:val="24"/>
          <w:szCs w:val="24"/>
          <w:lang w:eastAsia="pl-PL"/>
        </w:rPr>
        <w:t>Źródło: opracowanie własne na podstawie danych UG Góra Kalwaria</w:t>
      </w:r>
    </w:p>
    <w:p w14:paraId="7E9B620C" w14:textId="77777777" w:rsidR="008C584A" w:rsidRPr="008C584A" w:rsidRDefault="008C584A" w:rsidP="008C584A">
      <w:pPr>
        <w:spacing w:after="0" w:line="312" w:lineRule="auto"/>
        <w:jc w:val="center"/>
        <w:rPr>
          <w:rFonts w:ascii="Times New Roman" w:eastAsia="Times New Roman" w:hAnsi="Times New Roman" w:cs="Times New Roman"/>
          <w:sz w:val="10"/>
          <w:szCs w:val="10"/>
          <w:lang w:eastAsia="pl-PL"/>
        </w:rPr>
      </w:pPr>
    </w:p>
    <w:p w14:paraId="2A0D5F85" w14:textId="77777777" w:rsidR="008C584A" w:rsidRPr="008C584A" w:rsidRDefault="008C584A" w:rsidP="008C584A">
      <w:pPr>
        <w:spacing w:after="0" w:line="312" w:lineRule="auto"/>
        <w:ind w:firstLine="357"/>
        <w:jc w:val="both"/>
        <w:rPr>
          <w:rFonts w:ascii="Times New Roman" w:eastAsia="Times New Roman" w:hAnsi="Times New Roman" w:cs="Times New Roman"/>
          <w:i/>
          <w:iCs/>
          <w:sz w:val="12"/>
          <w:szCs w:val="12"/>
          <w:lang w:eastAsia="pl-PL"/>
        </w:rPr>
      </w:pPr>
    </w:p>
    <w:p w14:paraId="5E164037" w14:textId="12B2A9DF" w:rsidR="008C584A" w:rsidRDefault="008C584A" w:rsidP="006B6EE8">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W kolejnych latach badanego okresu miał miejsce stopniowy wzrost wielkości wydatków. Wysoka dynamika notowana jest począwszy od 2016 r., a ich maksymalną wartością zaplanowaną na rok 2022. </w:t>
      </w:r>
    </w:p>
    <w:p w14:paraId="6B2B9D43" w14:textId="77777777" w:rsidR="006B6EE8" w:rsidRPr="008C584A" w:rsidRDefault="006B6EE8" w:rsidP="006B6EE8">
      <w:pPr>
        <w:spacing w:after="0" w:line="276" w:lineRule="auto"/>
        <w:ind w:firstLine="357"/>
        <w:jc w:val="both"/>
        <w:rPr>
          <w:rFonts w:ascii="Times New Roman" w:eastAsia="Times New Roman" w:hAnsi="Times New Roman" w:cs="Times New Roman"/>
          <w:sz w:val="24"/>
          <w:szCs w:val="20"/>
          <w:lang w:eastAsia="pl-PL"/>
        </w:rPr>
      </w:pPr>
    </w:p>
    <w:p w14:paraId="16AA6216" w14:textId="44AC058F" w:rsidR="008C584A" w:rsidRPr="008C584A" w:rsidRDefault="008C584A" w:rsidP="008C584A">
      <w:pPr>
        <w:spacing w:after="0" w:line="240" w:lineRule="auto"/>
        <w:contextualSpacing/>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       </w:t>
      </w:r>
      <w:bookmarkStart w:id="51" w:name="_Hlk119636599"/>
      <w:r w:rsidRPr="008C584A">
        <w:rPr>
          <w:rFonts w:ascii="Times New Roman" w:eastAsia="Times New Roman" w:hAnsi="Times New Roman" w:cs="Times New Roman"/>
          <w:sz w:val="24"/>
          <w:szCs w:val="20"/>
          <w:lang w:eastAsia="pl-PL"/>
        </w:rPr>
        <w:t>Ry</w:t>
      </w:r>
      <w:r w:rsidR="00926698">
        <w:rPr>
          <w:rFonts w:ascii="Times New Roman" w:eastAsia="Times New Roman" w:hAnsi="Times New Roman" w:cs="Times New Roman"/>
          <w:sz w:val="24"/>
          <w:szCs w:val="20"/>
          <w:lang w:eastAsia="pl-PL"/>
        </w:rPr>
        <w:t xml:space="preserve">c.9. </w:t>
      </w:r>
      <w:r w:rsidRPr="008C584A">
        <w:rPr>
          <w:rFonts w:ascii="Times New Roman" w:eastAsia="Times New Roman" w:hAnsi="Times New Roman" w:cs="Times New Roman"/>
          <w:sz w:val="24"/>
          <w:szCs w:val="24"/>
          <w:lang w:eastAsia="pl-PL"/>
        </w:rPr>
        <w:t xml:space="preserve"> Wydatki budżetu gminy Góra Kalwaria  na tle dochodów w latach 2014-2022</w:t>
      </w:r>
    </w:p>
    <w:bookmarkEnd w:id="51"/>
    <w:p w14:paraId="2181B33F" w14:textId="77777777" w:rsidR="008C584A" w:rsidRPr="008C584A" w:rsidRDefault="008C584A" w:rsidP="008C584A">
      <w:pPr>
        <w:spacing w:after="0" w:line="240" w:lineRule="auto"/>
        <w:ind w:firstLine="357"/>
        <w:contextualSpacing/>
        <w:jc w:val="both"/>
        <w:rPr>
          <w:rFonts w:ascii="Times New Roman" w:eastAsia="Times New Roman" w:hAnsi="Times New Roman" w:cs="Times New Roman"/>
          <w:i/>
          <w:iCs/>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61A5FB33" wp14:editId="37A2AEDE">
            <wp:extent cx="5448300" cy="2447925"/>
            <wp:effectExtent l="0" t="0" r="0" b="9525"/>
            <wp:docPr id="11" name="Wykres 11">
              <a:extLst xmlns:a="http://schemas.openxmlformats.org/drawingml/2006/main">
                <a:ext uri="{FF2B5EF4-FFF2-40B4-BE49-F238E27FC236}">
                  <a16:creationId xmlns:a16="http://schemas.microsoft.com/office/drawing/2014/main" id="{BB8DC238-78BD-4BC4-AE42-2C72C62A7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7C635C8" w14:textId="77777777" w:rsidR="008C584A" w:rsidRPr="008C584A" w:rsidRDefault="008C584A" w:rsidP="008C584A">
      <w:pPr>
        <w:spacing w:after="0" w:line="240" w:lineRule="auto"/>
        <w:ind w:firstLine="357"/>
        <w:contextualSpacing/>
        <w:jc w:val="both"/>
        <w:rPr>
          <w:rFonts w:ascii="Times New Roman" w:eastAsia="Times New Roman" w:hAnsi="Times New Roman" w:cs="Times New Roman"/>
          <w:sz w:val="20"/>
          <w:szCs w:val="20"/>
          <w:lang w:eastAsia="pl-PL"/>
        </w:rPr>
      </w:pPr>
      <w:r w:rsidRPr="008C584A">
        <w:rPr>
          <w:rFonts w:ascii="Times New Roman" w:eastAsia="Times New Roman" w:hAnsi="Times New Roman" w:cs="Times New Roman"/>
          <w:sz w:val="20"/>
          <w:szCs w:val="20"/>
          <w:lang w:eastAsia="pl-PL"/>
        </w:rPr>
        <w:t>Źródło: opracowanie własne na podstawie danych budżetowych Gminy Góra Kalwaria</w:t>
      </w:r>
    </w:p>
    <w:p w14:paraId="5A09EE7B" w14:textId="77777777" w:rsidR="008C584A" w:rsidRPr="008C584A" w:rsidRDefault="008C584A" w:rsidP="008C584A">
      <w:pPr>
        <w:spacing w:after="0" w:line="312" w:lineRule="auto"/>
        <w:jc w:val="center"/>
        <w:rPr>
          <w:rFonts w:ascii="Arial Narrow" w:eastAsia="Times New Roman" w:hAnsi="Arial Narrow" w:cs="Times New Roman"/>
          <w:i/>
          <w:iCs/>
          <w:sz w:val="24"/>
          <w:szCs w:val="24"/>
          <w:lang w:eastAsia="pl-PL"/>
        </w:rPr>
      </w:pPr>
    </w:p>
    <w:p w14:paraId="4A0EC0B2"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bCs/>
          <w:sz w:val="24"/>
          <w:szCs w:val="20"/>
          <w:lang w:eastAsia="pl-PL"/>
        </w:rPr>
        <w:t>Analiza przebiegu poszczególnych strumieni pieniężnych do 2021 roku nie wykazuje zagrożeń dla sytuacji finansowej gminy. W większości analizowanych lat tempo zmian wydatków bieżących było proporcjonalne do zmian dochodów</w:t>
      </w:r>
      <w:r w:rsidRPr="008C584A">
        <w:rPr>
          <w:rFonts w:ascii="Times New Roman" w:eastAsia="Times New Roman" w:hAnsi="Times New Roman" w:cs="Times New Roman"/>
          <w:sz w:val="24"/>
          <w:szCs w:val="20"/>
          <w:lang w:eastAsia="pl-PL"/>
        </w:rPr>
        <w:t xml:space="preserve">. Sytuacja ta zmienia się niekorzystnie w 2022 r., gdy dynamika przyrostu dochodów ulega obniżeniu, a znacznie wzrasta tempo przyrostu wydatków bieżących. W całym okresie wydatki inwestycyjne realizowane były w wielkościach przekraczających własny potencjał finansowy gminy. Było to możliwe dzięki  pozyskiwaniu zewnętrznych źródeł finansowania zadań. </w:t>
      </w:r>
    </w:p>
    <w:p w14:paraId="3303489A" w14:textId="4C56160F" w:rsidR="008C584A" w:rsidRDefault="008C584A" w:rsidP="006B6EE8">
      <w:pPr>
        <w:spacing w:after="0" w:line="276" w:lineRule="auto"/>
        <w:ind w:firstLine="357"/>
        <w:jc w:val="both"/>
        <w:rPr>
          <w:rFonts w:ascii="Times New Roman" w:eastAsia="Times New Roman" w:hAnsi="Times New Roman" w:cs="Times New Roman"/>
          <w:sz w:val="18"/>
          <w:szCs w:val="18"/>
          <w:lang w:eastAsia="pl-PL"/>
        </w:rPr>
      </w:pPr>
      <w:r w:rsidRPr="008C584A">
        <w:rPr>
          <w:rFonts w:ascii="Times New Roman" w:eastAsia="Times New Roman" w:hAnsi="Times New Roman" w:cs="Times New Roman"/>
          <w:sz w:val="24"/>
          <w:szCs w:val="20"/>
          <w:lang w:eastAsia="pl-PL"/>
        </w:rPr>
        <w:lastRenderedPageBreak/>
        <w:t>Ważnym elementem analizy sytuacji finansowej gminy jest badanie wzajemnych relacji wydatków bieżących i inwestycyjnych. Udział obydwu tych grup w wydatkach ogółem w latach 2014-2022 przedstawiono w tabeli</w:t>
      </w:r>
      <w:r w:rsidR="00926698">
        <w:rPr>
          <w:rFonts w:ascii="Times New Roman" w:eastAsia="Times New Roman" w:hAnsi="Times New Roman" w:cs="Times New Roman"/>
          <w:sz w:val="24"/>
          <w:szCs w:val="20"/>
          <w:lang w:eastAsia="pl-PL"/>
        </w:rPr>
        <w:t xml:space="preserve"> 11</w:t>
      </w:r>
      <w:r w:rsidRPr="008C584A">
        <w:rPr>
          <w:rFonts w:ascii="Times New Roman" w:eastAsia="Times New Roman" w:hAnsi="Times New Roman" w:cs="Times New Roman"/>
          <w:sz w:val="24"/>
          <w:szCs w:val="20"/>
          <w:lang w:eastAsia="pl-PL"/>
        </w:rPr>
        <w:t>.  Ilustracją graficzną jest ry</w:t>
      </w:r>
      <w:r w:rsidR="00926698">
        <w:rPr>
          <w:rFonts w:ascii="Times New Roman" w:eastAsia="Times New Roman" w:hAnsi="Times New Roman" w:cs="Times New Roman"/>
          <w:sz w:val="24"/>
          <w:szCs w:val="20"/>
          <w:lang w:eastAsia="pl-PL"/>
        </w:rPr>
        <w:t>c. 10</w:t>
      </w:r>
      <w:r w:rsidRPr="008C584A">
        <w:rPr>
          <w:rFonts w:ascii="Times New Roman" w:eastAsia="Times New Roman" w:hAnsi="Times New Roman" w:cs="Times New Roman"/>
          <w:sz w:val="24"/>
          <w:szCs w:val="20"/>
          <w:lang w:eastAsia="pl-PL"/>
        </w:rPr>
        <w:t>.</w:t>
      </w:r>
      <w:r w:rsidRPr="008C584A">
        <w:rPr>
          <w:rFonts w:ascii="Times New Roman" w:eastAsia="Times New Roman" w:hAnsi="Times New Roman" w:cs="Times New Roman"/>
          <w:sz w:val="18"/>
          <w:szCs w:val="18"/>
          <w:lang w:eastAsia="pl-PL"/>
        </w:rPr>
        <w:t xml:space="preserve"> </w:t>
      </w:r>
    </w:p>
    <w:p w14:paraId="1D990DED" w14:textId="77777777" w:rsidR="003F13DF" w:rsidRPr="008C584A" w:rsidRDefault="003F13DF" w:rsidP="008C584A">
      <w:pPr>
        <w:spacing w:after="0" w:line="360" w:lineRule="auto"/>
        <w:ind w:firstLine="357"/>
        <w:jc w:val="both"/>
        <w:rPr>
          <w:rFonts w:ascii="Times New Roman" w:eastAsia="Times New Roman" w:hAnsi="Times New Roman" w:cs="Times New Roman"/>
          <w:sz w:val="18"/>
          <w:szCs w:val="18"/>
          <w:lang w:eastAsia="pl-PL"/>
        </w:rPr>
      </w:pPr>
    </w:p>
    <w:p w14:paraId="200510EB" w14:textId="7ADDF380" w:rsidR="008C584A" w:rsidRPr="008C584A" w:rsidRDefault="008C584A" w:rsidP="008C584A">
      <w:pPr>
        <w:spacing w:after="0" w:line="240" w:lineRule="auto"/>
        <w:jc w:val="both"/>
        <w:rPr>
          <w:rFonts w:ascii="Times New Roman" w:eastAsia="Times New Roman" w:hAnsi="Times New Roman" w:cs="Times New Roman"/>
          <w:sz w:val="24"/>
          <w:szCs w:val="24"/>
          <w:lang w:eastAsia="pl-PL"/>
        </w:rPr>
      </w:pPr>
      <w:bookmarkStart w:id="52" w:name="_Hlk119636648"/>
      <w:r w:rsidRPr="008C584A">
        <w:rPr>
          <w:rFonts w:ascii="Times New Roman" w:eastAsia="Times New Roman" w:hAnsi="Times New Roman" w:cs="Times New Roman"/>
          <w:sz w:val="24"/>
          <w:szCs w:val="24"/>
          <w:lang w:eastAsia="pl-PL"/>
        </w:rPr>
        <w:t xml:space="preserve">Tabela </w:t>
      </w:r>
      <w:r w:rsidR="00926698">
        <w:rPr>
          <w:rFonts w:ascii="Times New Roman" w:eastAsia="Times New Roman" w:hAnsi="Times New Roman" w:cs="Times New Roman"/>
          <w:sz w:val="24"/>
          <w:szCs w:val="24"/>
          <w:lang w:eastAsia="pl-PL"/>
        </w:rPr>
        <w:t>11</w:t>
      </w:r>
      <w:r w:rsidRPr="008C584A">
        <w:rPr>
          <w:rFonts w:ascii="Times New Roman" w:eastAsia="Times New Roman" w:hAnsi="Times New Roman" w:cs="Times New Roman"/>
          <w:sz w:val="24"/>
          <w:szCs w:val="24"/>
          <w:lang w:eastAsia="pl-PL"/>
        </w:rPr>
        <w:t xml:space="preserve"> Struktura wydatków Gminy Góra Kalwaria w latach 2014-2022 – udział % w wydatkach ogółem.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39"/>
        <w:gridCol w:w="774"/>
        <w:gridCol w:w="772"/>
        <w:gridCol w:w="772"/>
        <w:gridCol w:w="772"/>
        <w:gridCol w:w="772"/>
        <w:gridCol w:w="766"/>
        <w:gridCol w:w="873"/>
        <w:gridCol w:w="861"/>
        <w:gridCol w:w="859"/>
      </w:tblGrid>
      <w:tr w:rsidR="008C584A" w:rsidRPr="008C584A" w14:paraId="4D21EF16" w14:textId="77777777" w:rsidTr="005155C7">
        <w:trPr>
          <w:trHeight w:val="255"/>
        </w:trPr>
        <w:tc>
          <w:tcPr>
            <w:tcW w:w="1015" w:type="pct"/>
            <w:shd w:val="clear" w:color="auto" w:fill="D9E2F3" w:themeFill="accent1" w:themeFillTint="33"/>
          </w:tcPr>
          <w:bookmarkEnd w:id="52"/>
          <w:p w14:paraId="7D66BA18" w14:textId="77777777" w:rsidR="008C584A" w:rsidRPr="005155C7" w:rsidRDefault="008C584A" w:rsidP="008C584A">
            <w:pPr>
              <w:spacing w:after="0" w:line="240" w:lineRule="auto"/>
              <w:jc w:val="center"/>
              <w:rPr>
                <w:rFonts w:ascii="Times New Roman" w:eastAsia="Times New Roman" w:hAnsi="Times New Roman" w:cs="Times New Roman"/>
                <w:b/>
                <w:bCs/>
                <w:sz w:val="20"/>
                <w:szCs w:val="20"/>
                <w:lang w:eastAsia="pl-PL"/>
              </w:rPr>
            </w:pPr>
            <w:r w:rsidRPr="005155C7">
              <w:rPr>
                <w:rFonts w:ascii="Times New Roman" w:eastAsia="Times New Roman" w:hAnsi="Times New Roman" w:cs="Times New Roman"/>
                <w:b/>
                <w:bCs/>
                <w:sz w:val="20"/>
                <w:szCs w:val="20"/>
                <w:lang w:eastAsia="pl-PL"/>
              </w:rPr>
              <w:t>Wyszczególnienie </w:t>
            </w:r>
          </w:p>
        </w:tc>
        <w:tc>
          <w:tcPr>
            <w:tcW w:w="427" w:type="pct"/>
            <w:shd w:val="clear" w:color="auto" w:fill="D9E2F3" w:themeFill="accent1" w:themeFillTint="33"/>
          </w:tcPr>
          <w:p w14:paraId="68FE29CC"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2014</w:t>
            </w:r>
          </w:p>
        </w:tc>
        <w:tc>
          <w:tcPr>
            <w:tcW w:w="426" w:type="pct"/>
            <w:shd w:val="clear" w:color="auto" w:fill="D9E2F3" w:themeFill="accent1" w:themeFillTint="33"/>
          </w:tcPr>
          <w:p w14:paraId="79965358"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2015</w:t>
            </w:r>
          </w:p>
        </w:tc>
        <w:tc>
          <w:tcPr>
            <w:tcW w:w="426" w:type="pct"/>
            <w:shd w:val="clear" w:color="auto" w:fill="D9E2F3" w:themeFill="accent1" w:themeFillTint="33"/>
          </w:tcPr>
          <w:p w14:paraId="170847D0"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2016</w:t>
            </w:r>
          </w:p>
        </w:tc>
        <w:tc>
          <w:tcPr>
            <w:tcW w:w="426" w:type="pct"/>
            <w:shd w:val="clear" w:color="auto" w:fill="D9E2F3" w:themeFill="accent1" w:themeFillTint="33"/>
          </w:tcPr>
          <w:p w14:paraId="33B7BF52"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2017</w:t>
            </w:r>
          </w:p>
        </w:tc>
        <w:tc>
          <w:tcPr>
            <w:tcW w:w="426" w:type="pct"/>
            <w:shd w:val="clear" w:color="auto" w:fill="D9E2F3" w:themeFill="accent1" w:themeFillTint="33"/>
          </w:tcPr>
          <w:p w14:paraId="2B336E94"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2018</w:t>
            </w:r>
          </w:p>
        </w:tc>
        <w:tc>
          <w:tcPr>
            <w:tcW w:w="423" w:type="pct"/>
            <w:shd w:val="clear" w:color="auto" w:fill="D9E2F3" w:themeFill="accent1" w:themeFillTint="33"/>
          </w:tcPr>
          <w:p w14:paraId="6F25E9AC"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2019</w:t>
            </w:r>
          </w:p>
        </w:tc>
        <w:tc>
          <w:tcPr>
            <w:tcW w:w="482" w:type="pct"/>
            <w:shd w:val="clear" w:color="auto" w:fill="D9E2F3" w:themeFill="accent1" w:themeFillTint="33"/>
          </w:tcPr>
          <w:p w14:paraId="1C825762"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2020</w:t>
            </w:r>
          </w:p>
        </w:tc>
        <w:tc>
          <w:tcPr>
            <w:tcW w:w="475" w:type="pct"/>
            <w:shd w:val="clear" w:color="auto" w:fill="D9E2F3" w:themeFill="accent1" w:themeFillTint="33"/>
          </w:tcPr>
          <w:p w14:paraId="4F5F13A8"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2021</w:t>
            </w:r>
          </w:p>
        </w:tc>
        <w:tc>
          <w:tcPr>
            <w:tcW w:w="474" w:type="pct"/>
            <w:shd w:val="clear" w:color="auto" w:fill="D9E2F3" w:themeFill="accent1" w:themeFillTint="33"/>
          </w:tcPr>
          <w:p w14:paraId="0D81F1B2"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20"/>
                <w:szCs w:val="20"/>
                <w:lang w:eastAsia="pl-PL"/>
              </w:rPr>
            </w:pPr>
            <w:r w:rsidRPr="005155C7">
              <w:rPr>
                <w:rFonts w:ascii="Times New Roman" w:eastAsia="Times New Roman" w:hAnsi="Times New Roman" w:cs="Times New Roman"/>
                <w:b/>
                <w:bCs/>
                <w:color w:val="000000"/>
                <w:sz w:val="20"/>
                <w:szCs w:val="20"/>
                <w:lang w:eastAsia="pl-PL"/>
              </w:rPr>
              <w:t>2022</w:t>
            </w:r>
          </w:p>
        </w:tc>
      </w:tr>
      <w:tr w:rsidR="008C584A" w:rsidRPr="008C584A" w14:paraId="27948E3C" w14:textId="77777777" w:rsidTr="00547343">
        <w:trPr>
          <w:trHeight w:val="255"/>
        </w:trPr>
        <w:tc>
          <w:tcPr>
            <w:tcW w:w="1015" w:type="pct"/>
            <w:vAlign w:val="bottom"/>
          </w:tcPr>
          <w:p w14:paraId="29DE0C64" w14:textId="77777777" w:rsidR="008C584A" w:rsidRPr="008C584A" w:rsidRDefault="008C584A" w:rsidP="008C584A">
            <w:pPr>
              <w:spacing w:after="0" w:line="240" w:lineRule="auto"/>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snapToGrid w:val="0"/>
                <w:color w:val="000000"/>
                <w:sz w:val="20"/>
                <w:szCs w:val="20"/>
                <w:lang w:eastAsia="pl-PL"/>
              </w:rPr>
              <w:t>Wydatki ogółem</w:t>
            </w:r>
          </w:p>
        </w:tc>
        <w:tc>
          <w:tcPr>
            <w:tcW w:w="427" w:type="pct"/>
          </w:tcPr>
          <w:p w14:paraId="468E134C"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26" w:type="pct"/>
          </w:tcPr>
          <w:p w14:paraId="53872293"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26" w:type="pct"/>
          </w:tcPr>
          <w:p w14:paraId="024644B0"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26" w:type="pct"/>
          </w:tcPr>
          <w:p w14:paraId="5CC5BAE6"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26" w:type="pct"/>
          </w:tcPr>
          <w:p w14:paraId="289FF4C8"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23" w:type="pct"/>
            <w:noWrap/>
          </w:tcPr>
          <w:p w14:paraId="1B7E645D"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82" w:type="pct"/>
          </w:tcPr>
          <w:p w14:paraId="5ADD171B"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75" w:type="pct"/>
            <w:noWrap/>
          </w:tcPr>
          <w:p w14:paraId="6ECC400C"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c>
          <w:tcPr>
            <w:tcW w:w="474" w:type="pct"/>
          </w:tcPr>
          <w:p w14:paraId="2CC1F303"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100,00</w:t>
            </w:r>
          </w:p>
        </w:tc>
      </w:tr>
      <w:tr w:rsidR="008C584A" w:rsidRPr="008C584A" w14:paraId="1364DAA4" w14:textId="77777777" w:rsidTr="00547343">
        <w:trPr>
          <w:trHeight w:val="255"/>
        </w:trPr>
        <w:tc>
          <w:tcPr>
            <w:tcW w:w="1015" w:type="pct"/>
            <w:vAlign w:val="bottom"/>
          </w:tcPr>
          <w:p w14:paraId="09216CF7" w14:textId="77777777" w:rsidR="008C584A" w:rsidRPr="008C584A" w:rsidRDefault="008C584A" w:rsidP="008C584A">
            <w:pPr>
              <w:spacing w:after="0" w:line="240" w:lineRule="auto"/>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snapToGrid w:val="0"/>
                <w:color w:val="000000"/>
                <w:sz w:val="20"/>
                <w:szCs w:val="20"/>
                <w:lang w:eastAsia="pl-PL"/>
              </w:rPr>
              <w:t>Wydatki bieżące</w:t>
            </w:r>
          </w:p>
        </w:tc>
        <w:tc>
          <w:tcPr>
            <w:tcW w:w="427" w:type="pct"/>
          </w:tcPr>
          <w:p w14:paraId="625DF90D"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84,05</w:t>
            </w:r>
          </w:p>
        </w:tc>
        <w:tc>
          <w:tcPr>
            <w:tcW w:w="426" w:type="pct"/>
          </w:tcPr>
          <w:p w14:paraId="4A283FD7"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84,72</w:t>
            </w:r>
          </w:p>
        </w:tc>
        <w:tc>
          <w:tcPr>
            <w:tcW w:w="426" w:type="pct"/>
          </w:tcPr>
          <w:p w14:paraId="0525E5F6"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87,06</w:t>
            </w:r>
          </w:p>
        </w:tc>
        <w:tc>
          <w:tcPr>
            <w:tcW w:w="426" w:type="pct"/>
          </w:tcPr>
          <w:p w14:paraId="19F3D374"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89,12</w:t>
            </w:r>
          </w:p>
        </w:tc>
        <w:tc>
          <w:tcPr>
            <w:tcW w:w="426" w:type="pct"/>
          </w:tcPr>
          <w:p w14:paraId="3A03CEC0"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86,97</w:t>
            </w:r>
          </w:p>
        </w:tc>
        <w:tc>
          <w:tcPr>
            <w:tcW w:w="423" w:type="pct"/>
            <w:noWrap/>
          </w:tcPr>
          <w:p w14:paraId="3F1F6BC6"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92,69</w:t>
            </w:r>
          </w:p>
        </w:tc>
        <w:tc>
          <w:tcPr>
            <w:tcW w:w="482" w:type="pct"/>
          </w:tcPr>
          <w:p w14:paraId="33766478"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92,23</w:t>
            </w:r>
          </w:p>
        </w:tc>
        <w:tc>
          <w:tcPr>
            <w:tcW w:w="475" w:type="pct"/>
            <w:noWrap/>
          </w:tcPr>
          <w:p w14:paraId="5FF92BC1"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91,81</w:t>
            </w:r>
          </w:p>
        </w:tc>
        <w:tc>
          <w:tcPr>
            <w:tcW w:w="474" w:type="pct"/>
            <w:vAlign w:val="bottom"/>
          </w:tcPr>
          <w:p w14:paraId="751074FC" w14:textId="77777777" w:rsidR="008C584A" w:rsidRPr="008C584A" w:rsidRDefault="008C584A" w:rsidP="008C584A">
            <w:pPr>
              <w:spacing w:after="0" w:line="240" w:lineRule="auto"/>
              <w:jc w:val="right"/>
              <w:rPr>
                <w:rFonts w:ascii="Times New Roman" w:eastAsia="Times New Roman" w:hAnsi="Times New Roman" w:cs="Times New Roman"/>
                <w:sz w:val="20"/>
                <w:szCs w:val="20"/>
                <w:lang w:eastAsia="pl-PL"/>
              </w:rPr>
            </w:pPr>
            <w:r w:rsidRPr="008C584A">
              <w:rPr>
                <w:rFonts w:ascii="Times New Roman" w:eastAsia="Times New Roman" w:hAnsi="Times New Roman" w:cs="Times New Roman"/>
                <w:sz w:val="20"/>
                <w:szCs w:val="20"/>
                <w:lang w:eastAsia="pl-PL"/>
              </w:rPr>
              <w:t>82,59</w:t>
            </w:r>
          </w:p>
        </w:tc>
      </w:tr>
      <w:tr w:rsidR="008C584A" w:rsidRPr="008C584A" w14:paraId="23D41B74" w14:textId="77777777" w:rsidTr="00547343">
        <w:trPr>
          <w:trHeight w:val="255"/>
        </w:trPr>
        <w:tc>
          <w:tcPr>
            <w:tcW w:w="1015" w:type="pct"/>
            <w:vAlign w:val="bottom"/>
          </w:tcPr>
          <w:p w14:paraId="1F24790E" w14:textId="77777777" w:rsidR="008C584A" w:rsidRPr="008C584A" w:rsidRDefault="008C584A" w:rsidP="008C584A">
            <w:pPr>
              <w:spacing w:after="0" w:line="240" w:lineRule="auto"/>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snapToGrid w:val="0"/>
                <w:color w:val="000000"/>
                <w:sz w:val="20"/>
                <w:szCs w:val="20"/>
                <w:lang w:eastAsia="pl-PL"/>
              </w:rPr>
              <w:t>Wydatki inwestycyjne</w:t>
            </w:r>
          </w:p>
        </w:tc>
        <w:tc>
          <w:tcPr>
            <w:tcW w:w="427" w:type="pct"/>
          </w:tcPr>
          <w:p w14:paraId="5544DFC2"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15,95</w:t>
            </w:r>
          </w:p>
        </w:tc>
        <w:tc>
          <w:tcPr>
            <w:tcW w:w="426" w:type="pct"/>
          </w:tcPr>
          <w:p w14:paraId="4E48EEDE"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15,28</w:t>
            </w:r>
          </w:p>
        </w:tc>
        <w:tc>
          <w:tcPr>
            <w:tcW w:w="426" w:type="pct"/>
          </w:tcPr>
          <w:p w14:paraId="5F0088DF"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12,94</w:t>
            </w:r>
          </w:p>
        </w:tc>
        <w:tc>
          <w:tcPr>
            <w:tcW w:w="426" w:type="pct"/>
          </w:tcPr>
          <w:p w14:paraId="328FC521"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10,88</w:t>
            </w:r>
          </w:p>
        </w:tc>
        <w:tc>
          <w:tcPr>
            <w:tcW w:w="426" w:type="pct"/>
          </w:tcPr>
          <w:p w14:paraId="508A4EF7"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13,03</w:t>
            </w:r>
          </w:p>
        </w:tc>
        <w:tc>
          <w:tcPr>
            <w:tcW w:w="423" w:type="pct"/>
            <w:noWrap/>
          </w:tcPr>
          <w:p w14:paraId="65043A9C"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7,31</w:t>
            </w:r>
          </w:p>
        </w:tc>
        <w:tc>
          <w:tcPr>
            <w:tcW w:w="482" w:type="pct"/>
          </w:tcPr>
          <w:p w14:paraId="6E496D8D"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7,77</w:t>
            </w:r>
          </w:p>
        </w:tc>
        <w:tc>
          <w:tcPr>
            <w:tcW w:w="475" w:type="pct"/>
            <w:noWrap/>
          </w:tcPr>
          <w:p w14:paraId="11FCB63B"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8,19</w:t>
            </w:r>
          </w:p>
        </w:tc>
        <w:tc>
          <w:tcPr>
            <w:tcW w:w="474" w:type="pct"/>
          </w:tcPr>
          <w:p w14:paraId="26E7C097" w14:textId="77777777" w:rsidR="008C584A" w:rsidRPr="008C584A" w:rsidRDefault="008C584A" w:rsidP="008C584A">
            <w:pPr>
              <w:spacing w:after="0" w:line="240" w:lineRule="auto"/>
              <w:jc w:val="right"/>
              <w:rPr>
                <w:rFonts w:ascii="Times New Roman" w:eastAsia="Times New Roman" w:hAnsi="Times New Roman" w:cs="Times New Roman"/>
                <w:color w:val="000000"/>
                <w:sz w:val="20"/>
                <w:szCs w:val="20"/>
                <w:lang w:eastAsia="pl-PL"/>
              </w:rPr>
            </w:pPr>
            <w:r w:rsidRPr="008C584A">
              <w:rPr>
                <w:rFonts w:ascii="Times New Roman" w:eastAsia="Times New Roman" w:hAnsi="Times New Roman" w:cs="Times New Roman"/>
                <w:color w:val="000000"/>
                <w:sz w:val="20"/>
                <w:szCs w:val="20"/>
                <w:lang w:eastAsia="pl-PL"/>
              </w:rPr>
              <w:t>17,41</w:t>
            </w:r>
          </w:p>
        </w:tc>
      </w:tr>
    </w:tbl>
    <w:p w14:paraId="1B2DE644" w14:textId="54220A83" w:rsidR="008C584A" w:rsidRPr="00EB41D2" w:rsidRDefault="008C584A" w:rsidP="008C584A">
      <w:pPr>
        <w:spacing w:after="0" w:line="360" w:lineRule="auto"/>
        <w:rPr>
          <w:rFonts w:ascii="Times New Roman" w:eastAsia="Times New Roman" w:hAnsi="Times New Roman" w:cs="Times New Roman"/>
          <w:sz w:val="24"/>
          <w:szCs w:val="24"/>
          <w:lang w:eastAsia="pl-PL"/>
        </w:rPr>
      </w:pPr>
      <w:r w:rsidRPr="00EB41D2">
        <w:rPr>
          <w:rFonts w:ascii="Times New Roman" w:eastAsia="Times New Roman" w:hAnsi="Times New Roman" w:cs="Times New Roman"/>
          <w:sz w:val="24"/>
          <w:szCs w:val="24"/>
          <w:lang w:eastAsia="pl-PL"/>
        </w:rPr>
        <w:t>Źródło: obliczenia autora na podstawie danych budżetów Gminy Góra Kalwaria.</w:t>
      </w:r>
    </w:p>
    <w:p w14:paraId="38FA1723" w14:textId="13B7F3B9" w:rsidR="00EB41D2" w:rsidRDefault="00EB41D2" w:rsidP="008C584A">
      <w:pPr>
        <w:spacing w:after="0" w:line="360" w:lineRule="auto"/>
        <w:rPr>
          <w:rFonts w:ascii="Times New Roman" w:eastAsia="Times New Roman" w:hAnsi="Times New Roman" w:cs="Times New Roman"/>
          <w:sz w:val="18"/>
          <w:szCs w:val="18"/>
          <w:lang w:eastAsia="pl-PL"/>
        </w:rPr>
      </w:pPr>
    </w:p>
    <w:p w14:paraId="64782774" w14:textId="77777777" w:rsidR="003F13DF" w:rsidRPr="008C584A" w:rsidRDefault="003F13DF"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badanym okresie miały miejsce znaczące wahania wzajemnych proporcji wydatków bieżących i inwestycyjnych. W gminie Góra Kalwaria najwyższy udział inwestycji w budżecie notowano w latach: 2022 (17,4%), 2014 r. (15,9%) i 2015 r. (15,3%) i 2013 r. (14,6%), a niższy w 2019 r. (7,3%), 2016 r. i w 2020 r. (7,8%). </w:t>
      </w:r>
    </w:p>
    <w:p w14:paraId="566C09F7" w14:textId="09C7281E" w:rsidR="003F13DF" w:rsidRDefault="003F13DF" w:rsidP="008C584A">
      <w:pPr>
        <w:spacing w:after="0" w:line="360" w:lineRule="auto"/>
        <w:rPr>
          <w:rFonts w:ascii="Times New Roman" w:eastAsia="Times New Roman" w:hAnsi="Times New Roman" w:cs="Times New Roman"/>
          <w:sz w:val="18"/>
          <w:szCs w:val="18"/>
          <w:lang w:eastAsia="pl-PL"/>
        </w:rPr>
      </w:pPr>
    </w:p>
    <w:p w14:paraId="385AC324" w14:textId="77777777" w:rsidR="003F13DF" w:rsidRPr="008C584A" w:rsidRDefault="003F13DF" w:rsidP="008C584A">
      <w:pPr>
        <w:spacing w:after="0" w:line="360" w:lineRule="auto"/>
        <w:rPr>
          <w:rFonts w:ascii="Times New Roman" w:eastAsia="Times New Roman" w:hAnsi="Times New Roman" w:cs="Times New Roman"/>
          <w:sz w:val="18"/>
          <w:szCs w:val="18"/>
          <w:lang w:eastAsia="pl-PL"/>
        </w:rPr>
      </w:pPr>
    </w:p>
    <w:p w14:paraId="4AE7903A" w14:textId="14ECF84D" w:rsidR="008C584A" w:rsidRPr="008C584A" w:rsidRDefault="008C584A" w:rsidP="008C584A">
      <w:pPr>
        <w:spacing w:after="0" w:line="288" w:lineRule="auto"/>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0"/>
          <w:lang w:eastAsia="pl-PL"/>
        </w:rPr>
        <w:t xml:space="preserve">     </w:t>
      </w:r>
      <w:bookmarkStart w:id="53" w:name="_Hlk119636685"/>
      <w:r w:rsidRPr="008C584A">
        <w:rPr>
          <w:rFonts w:ascii="Times New Roman" w:eastAsia="Times New Roman" w:hAnsi="Times New Roman" w:cs="Times New Roman"/>
          <w:sz w:val="24"/>
          <w:szCs w:val="20"/>
          <w:lang w:eastAsia="pl-PL"/>
        </w:rPr>
        <w:t>Ry</w:t>
      </w:r>
      <w:r w:rsidR="00926698">
        <w:rPr>
          <w:rFonts w:ascii="Times New Roman" w:eastAsia="Times New Roman" w:hAnsi="Times New Roman" w:cs="Times New Roman"/>
          <w:sz w:val="24"/>
          <w:szCs w:val="20"/>
          <w:lang w:eastAsia="pl-PL"/>
        </w:rPr>
        <w:t xml:space="preserve">c.10. </w:t>
      </w:r>
      <w:r w:rsidRPr="008C584A">
        <w:rPr>
          <w:rFonts w:ascii="Times New Roman" w:eastAsia="Times New Roman" w:hAnsi="Times New Roman" w:cs="Times New Roman"/>
          <w:sz w:val="24"/>
          <w:szCs w:val="24"/>
          <w:lang w:eastAsia="pl-PL"/>
        </w:rPr>
        <w:t xml:space="preserve"> Struktura wydatków gminy Góra Kalwaria w latach 2014-2022 (w %)</w:t>
      </w:r>
    </w:p>
    <w:bookmarkEnd w:id="53"/>
    <w:p w14:paraId="3094CC86" w14:textId="77777777" w:rsidR="008C584A" w:rsidRPr="008C584A" w:rsidRDefault="008C584A" w:rsidP="008C584A">
      <w:pPr>
        <w:spacing w:after="0" w:line="240" w:lineRule="auto"/>
        <w:jc w:val="center"/>
        <w:rPr>
          <w:rFonts w:ascii="Times New Roman" w:eastAsia="Times New Roman" w:hAnsi="Times New Roman" w:cs="Times New Roman"/>
          <w:i/>
          <w:iCs/>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771B3E3B" wp14:editId="6B2F577D">
            <wp:extent cx="5340350" cy="2486025"/>
            <wp:effectExtent l="0" t="0" r="12700" b="9525"/>
            <wp:docPr id="9" name="Wykres 9">
              <a:extLst xmlns:a="http://schemas.openxmlformats.org/drawingml/2006/main">
                <a:ext uri="{FF2B5EF4-FFF2-40B4-BE49-F238E27FC236}">
                  <a16:creationId xmlns:a16="http://schemas.microsoft.com/office/drawing/2014/main" id="{A99743BB-DD69-480F-95E6-B49A85CBD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7770725" w14:textId="77777777" w:rsidR="008C584A" w:rsidRPr="008C584A" w:rsidRDefault="008C584A" w:rsidP="008C584A">
      <w:pPr>
        <w:spacing w:after="0" w:line="240" w:lineRule="auto"/>
        <w:rPr>
          <w:rFonts w:ascii="Times New Roman" w:eastAsia="Times New Roman" w:hAnsi="Times New Roman" w:cs="Times New Roman"/>
          <w:sz w:val="20"/>
          <w:szCs w:val="20"/>
          <w:lang w:eastAsia="pl-PL"/>
        </w:rPr>
      </w:pPr>
      <w:r w:rsidRPr="008C584A">
        <w:rPr>
          <w:rFonts w:ascii="Times New Roman" w:eastAsia="Times New Roman" w:hAnsi="Times New Roman" w:cs="Times New Roman"/>
          <w:sz w:val="20"/>
          <w:szCs w:val="20"/>
          <w:lang w:eastAsia="pl-PL"/>
        </w:rPr>
        <w:t xml:space="preserve">      Źródło: opracowanie własne na podstawie danych budżetowych Gminy Góra Kalwaria</w:t>
      </w:r>
    </w:p>
    <w:p w14:paraId="0C5A07D0" w14:textId="77777777" w:rsidR="008C584A" w:rsidRPr="008C584A" w:rsidRDefault="008C584A" w:rsidP="008C584A">
      <w:pPr>
        <w:spacing w:after="0" w:line="312" w:lineRule="auto"/>
        <w:jc w:val="both"/>
        <w:rPr>
          <w:rFonts w:ascii="Times New Roman" w:eastAsia="Times New Roman" w:hAnsi="Times New Roman" w:cs="Times New Roman"/>
          <w:i/>
          <w:iCs/>
          <w:sz w:val="24"/>
          <w:szCs w:val="24"/>
          <w:lang w:eastAsia="pl-PL"/>
        </w:rPr>
      </w:pPr>
    </w:p>
    <w:p w14:paraId="5EED3F12"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Dzięki racjonalnej polityce władz lokalnych, a także pozyskiwaniu zewnętrznych źródeł finansowania, wartość zrealizowanych wydatków inwestycyjnych przewyższała własny potencjał rozwojowy gminy. W większości lat badanego okresu udział inwestycji w wydatkach ogółem gminy Góra Kalwaria był nieco niższy od średnich krajowych. </w:t>
      </w:r>
    </w:p>
    <w:p w14:paraId="4E998CC0" w14:textId="77777777" w:rsidR="008C584A" w:rsidRPr="008C584A" w:rsidRDefault="008C584A" w:rsidP="006B6EE8">
      <w:pPr>
        <w:keepNext/>
        <w:spacing w:before="240" w:after="60" w:line="276" w:lineRule="auto"/>
        <w:outlineLvl w:val="2"/>
        <w:rPr>
          <w:rFonts w:ascii="Times New Roman" w:eastAsia="Times New Roman" w:hAnsi="Times New Roman" w:cs="Times New Roman"/>
          <w:b/>
          <w:bCs/>
          <w:sz w:val="24"/>
          <w:szCs w:val="24"/>
          <w:lang w:eastAsia="pl-PL"/>
        </w:rPr>
      </w:pPr>
      <w:r w:rsidRPr="008C584A">
        <w:rPr>
          <w:rFonts w:ascii="Times New Roman" w:eastAsia="Times New Roman" w:hAnsi="Times New Roman" w:cs="Times New Roman"/>
          <w:b/>
          <w:bCs/>
          <w:sz w:val="24"/>
          <w:szCs w:val="24"/>
          <w:lang w:eastAsia="pl-PL"/>
        </w:rPr>
        <w:t>Wydatki bieżące</w:t>
      </w:r>
    </w:p>
    <w:p w14:paraId="73B97B36" w14:textId="77777777" w:rsidR="008C584A" w:rsidRPr="008C584A" w:rsidRDefault="008C584A" w:rsidP="006B6EE8">
      <w:pPr>
        <w:spacing w:after="0" w:line="276" w:lineRule="auto"/>
        <w:jc w:val="both"/>
        <w:rPr>
          <w:rFonts w:ascii="Times New Roman" w:eastAsia="Times New Roman" w:hAnsi="Times New Roman" w:cs="Times New Roman"/>
          <w:i/>
          <w:iCs/>
          <w:sz w:val="16"/>
          <w:szCs w:val="16"/>
          <w:lang w:eastAsia="pl-PL"/>
        </w:rPr>
      </w:pPr>
    </w:p>
    <w:p w14:paraId="2DB8C22D"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latach 2014-2022 wydatki bieżące zwiększyły się nominalnie o 141,9%, a realnie o 113,1% (z 83,3 mln zł do 177,6 mln zł). Tendencję wzrostową notowano w całym analizowanym okresie i była ona nieco wyższa od tempa zmian wydatków ogółem. </w:t>
      </w:r>
    </w:p>
    <w:p w14:paraId="23FE000E" w14:textId="09647B83"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lastRenderedPageBreak/>
        <w:t xml:space="preserve">W 2022 r. największe wydatki bieżące przeznaczono na cele oświaty i wychowania – 68,8 mln zł. (38,9% wydatków bieżących budżetu). Drugim kierunkiem alokacji tych środków były zadania działów Rodzina, Pomoc społeczna i Pozostałe zadania z zakresu polityki społecznej – łącznie 49,41 mln zł. (25,9% ogółu). Działami, w których zrealizowano znaczne wydatki bieżące były także: Gospodarka komunalna i ochrona środowiska (17,4 mln zł; 9,8%), Administracja publiczna (12,8 mln zł,; 7,2%), Transport i łączność (7,6 mln zł.; 4,3%), Kultura fizyczna i sport (7,0 mln zł; 3,9%), a w niższych wartościach Gospodarka mieszkaniowa (4,1 mln zł.; 2,3%), Kultura i ochrona dziedzictwa narodowego (3,7 mln zł.; 2,1%), Bezpieczeństwo publiczne i ochrona ppoż. (2,0 mln zł.; 1,1%), Obsługa długu publicznego (2,0 mln zł.; 1,1%), Ochrona zdrowia (1,7 mln zł.; 1,0%), Handel (1,5 mln zł; 0,8%), Edukacyjna opieka wychowawcza (1,0 mln zł; 0,6%), </w:t>
      </w:r>
      <w:r w:rsidRPr="008C584A">
        <w:rPr>
          <w:rFonts w:ascii="Times New Roman" w:eastAsia="Times New Roman" w:hAnsi="Times New Roman" w:cs="Times New Roman"/>
          <w:color w:val="000000"/>
          <w:sz w:val="24"/>
          <w:szCs w:val="24"/>
          <w:lang w:eastAsia="pl-PL"/>
        </w:rPr>
        <w:t>Rolnictwo, łowiectwo i leśnictwo</w:t>
      </w:r>
      <w:r w:rsidRPr="008C584A">
        <w:rPr>
          <w:rFonts w:ascii="Times New Roman" w:eastAsia="Times New Roman" w:hAnsi="Times New Roman" w:cs="Times New Roman"/>
          <w:sz w:val="24"/>
          <w:szCs w:val="24"/>
          <w:lang w:eastAsia="pl-PL"/>
        </w:rPr>
        <w:t xml:space="preserve"> (0,3 mln zł., 0,2%). Środki alokowane w pozostałych działach miały mniejsze znaczenie w wydatkach ogółem. Strukturę wydatków bieżących obrazuje ry</w:t>
      </w:r>
      <w:r w:rsidR="00926698">
        <w:rPr>
          <w:rFonts w:ascii="Times New Roman" w:eastAsia="Times New Roman" w:hAnsi="Times New Roman" w:cs="Times New Roman"/>
          <w:sz w:val="24"/>
          <w:szCs w:val="24"/>
          <w:lang w:eastAsia="pl-PL"/>
        </w:rPr>
        <w:t>c.11</w:t>
      </w:r>
      <w:r w:rsidRPr="008C584A">
        <w:rPr>
          <w:rFonts w:ascii="Times New Roman" w:eastAsia="Times New Roman" w:hAnsi="Times New Roman" w:cs="Times New Roman"/>
          <w:sz w:val="24"/>
          <w:szCs w:val="24"/>
          <w:lang w:eastAsia="pl-PL"/>
        </w:rPr>
        <w:t>.</w:t>
      </w:r>
    </w:p>
    <w:p w14:paraId="6254EC68" w14:textId="77777777" w:rsidR="008C584A" w:rsidRPr="008C584A" w:rsidRDefault="008C584A" w:rsidP="008C584A">
      <w:pPr>
        <w:spacing w:after="0" w:line="240" w:lineRule="auto"/>
        <w:jc w:val="both"/>
        <w:rPr>
          <w:rFonts w:ascii="Times New Roman" w:eastAsia="Times New Roman" w:hAnsi="Times New Roman" w:cs="Times New Roman"/>
          <w:i/>
          <w:iCs/>
          <w:sz w:val="24"/>
          <w:szCs w:val="24"/>
          <w:lang w:eastAsia="pl-PL"/>
        </w:rPr>
      </w:pPr>
      <w:bookmarkStart w:id="54" w:name="_Hlk119636726"/>
    </w:p>
    <w:p w14:paraId="6EFE2B05" w14:textId="611C56E7" w:rsidR="008C584A" w:rsidRPr="008C584A" w:rsidRDefault="008C584A" w:rsidP="008C584A">
      <w:pPr>
        <w:spacing w:after="0" w:line="240"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0"/>
          <w:lang w:eastAsia="pl-PL"/>
        </w:rPr>
        <w:t>Ry</w:t>
      </w:r>
      <w:r w:rsidR="00926698">
        <w:rPr>
          <w:rFonts w:ascii="Times New Roman" w:eastAsia="Times New Roman" w:hAnsi="Times New Roman" w:cs="Times New Roman"/>
          <w:sz w:val="24"/>
          <w:szCs w:val="20"/>
          <w:lang w:eastAsia="pl-PL"/>
        </w:rPr>
        <w:t xml:space="preserve">c. 11. </w:t>
      </w:r>
      <w:r w:rsidRPr="008C584A">
        <w:rPr>
          <w:rFonts w:ascii="Times New Roman" w:eastAsia="Times New Roman" w:hAnsi="Times New Roman" w:cs="Times New Roman"/>
          <w:sz w:val="24"/>
          <w:szCs w:val="24"/>
          <w:lang w:eastAsia="pl-PL"/>
        </w:rPr>
        <w:t xml:space="preserve"> Struktura wydatków bieżących gminy Góra Kalwaria w latach 2014-2022 (w </w:t>
      </w:r>
      <w:bookmarkEnd w:id="54"/>
      <w:r w:rsidRPr="008C584A">
        <w:rPr>
          <w:rFonts w:ascii="Times New Roman" w:eastAsia="Times New Roman" w:hAnsi="Times New Roman" w:cs="Times New Roman"/>
          <w:sz w:val="24"/>
          <w:szCs w:val="24"/>
          <w:lang w:eastAsia="pl-PL"/>
        </w:rPr>
        <w:t>%)</w:t>
      </w:r>
    </w:p>
    <w:p w14:paraId="27C54578" w14:textId="77777777" w:rsidR="008C584A" w:rsidRPr="008C584A" w:rsidRDefault="008C584A" w:rsidP="008C584A">
      <w:pPr>
        <w:spacing w:after="0" w:line="312"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noProof/>
          <w:sz w:val="24"/>
          <w:szCs w:val="20"/>
          <w:lang w:eastAsia="pl-PL"/>
        </w:rPr>
        <w:drawing>
          <wp:inline distT="0" distB="0" distL="0" distR="0" wp14:anchorId="123C5292" wp14:editId="2F385DC4">
            <wp:extent cx="5502275" cy="2676525"/>
            <wp:effectExtent l="0" t="0" r="3175" b="9525"/>
            <wp:docPr id="12" name="Wykres 12">
              <a:extLst xmlns:a="http://schemas.openxmlformats.org/drawingml/2006/main">
                <a:ext uri="{FF2B5EF4-FFF2-40B4-BE49-F238E27FC236}">
                  <a16:creationId xmlns:a16="http://schemas.microsoft.com/office/drawing/2014/main" id="{5BC47F9D-14C5-4628-92D6-13D354F1E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606E0BD" w14:textId="77777777" w:rsidR="008C584A" w:rsidRPr="008C584A" w:rsidRDefault="008C584A" w:rsidP="008C584A">
      <w:pPr>
        <w:spacing w:after="0" w:line="240" w:lineRule="auto"/>
        <w:jc w:val="both"/>
        <w:rPr>
          <w:rFonts w:ascii="Times New Roman" w:eastAsia="Times New Roman" w:hAnsi="Times New Roman" w:cs="Times New Roman"/>
          <w:sz w:val="20"/>
          <w:szCs w:val="20"/>
          <w:lang w:eastAsia="pl-PL"/>
        </w:rPr>
      </w:pPr>
      <w:bookmarkStart w:id="55" w:name="_MON_1689756313"/>
      <w:bookmarkEnd w:id="55"/>
      <w:r w:rsidRPr="008C584A">
        <w:rPr>
          <w:rFonts w:ascii="Times New Roman" w:eastAsia="Times New Roman" w:hAnsi="Times New Roman" w:cs="Times New Roman"/>
          <w:sz w:val="20"/>
          <w:szCs w:val="20"/>
          <w:lang w:eastAsia="pl-PL"/>
        </w:rPr>
        <w:t>Źródło: rysunek własny na podstawie danych budżetowych Gminy Góra Kalwaria</w:t>
      </w:r>
    </w:p>
    <w:p w14:paraId="60E88BD3" w14:textId="77777777" w:rsidR="008C584A" w:rsidRPr="008C584A" w:rsidRDefault="008C584A" w:rsidP="008C584A">
      <w:pPr>
        <w:spacing w:after="0" w:line="312" w:lineRule="auto"/>
        <w:ind w:firstLine="340"/>
        <w:jc w:val="both"/>
        <w:rPr>
          <w:rFonts w:ascii="Times New Roman" w:eastAsia="Times New Roman" w:hAnsi="Times New Roman" w:cs="Times New Roman"/>
          <w:i/>
          <w:iCs/>
          <w:sz w:val="24"/>
          <w:szCs w:val="24"/>
          <w:lang w:eastAsia="pl-PL"/>
        </w:rPr>
      </w:pPr>
    </w:p>
    <w:p w14:paraId="5448FD56" w14:textId="77777777" w:rsidR="008C584A" w:rsidRPr="008C584A" w:rsidRDefault="008C584A" w:rsidP="006B6EE8">
      <w:pPr>
        <w:spacing w:after="0" w:line="276" w:lineRule="auto"/>
        <w:ind w:firstLine="357"/>
        <w:jc w:val="both"/>
        <w:rPr>
          <w:rFonts w:ascii="Times New Roman" w:eastAsia="Times New Roman" w:hAnsi="Times New Roman" w:cs="Times New Roman"/>
          <w:sz w:val="20"/>
          <w:szCs w:val="20"/>
          <w:lang w:eastAsia="pl-PL"/>
        </w:rPr>
      </w:pPr>
      <w:r w:rsidRPr="008C584A">
        <w:rPr>
          <w:rFonts w:ascii="Times New Roman" w:eastAsia="Times New Roman" w:hAnsi="Times New Roman" w:cs="Times New Roman"/>
          <w:sz w:val="24"/>
          <w:szCs w:val="24"/>
          <w:lang w:eastAsia="pl-PL"/>
        </w:rPr>
        <w:t xml:space="preserve">W niektórych działach przyrost wydatków bieżących znacznie przewyższał poziom inflacji, a także dynamikę dochodów. Zanotowano wysokie tempo zmian i ich znaczący wymiar kwotowy, uwidocznił się szczególnie w sferze społecznej (oświata, opieka społeczna). </w:t>
      </w:r>
    </w:p>
    <w:p w14:paraId="0F2BA45C" w14:textId="77777777" w:rsidR="008C584A" w:rsidRPr="008C584A" w:rsidRDefault="008C584A" w:rsidP="006B6EE8">
      <w:pPr>
        <w:keepNext/>
        <w:spacing w:before="240" w:after="60" w:line="276" w:lineRule="auto"/>
        <w:outlineLvl w:val="2"/>
        <w:rPr>
          <w:rFonts w:ascii="Times New Roman" w:eastAsia="Times New Roman" w:hAnsi="Times New Roman" w:cs="Times New Roman"/>
          <w:b/>
          <w:bCs/>
          <w:i/>
          <w:iCs/>
          <w:sz w:val="24"/>
          <w:szCs w:val="24"/>
          <w:lang w:eastAsia="pl-PL"/>
        </w:rPr>
      </w:pPr>
      <w:bookmarkStart w:id="56" w:name="_Toc526974462"/>
      <w:r w:rsidRPr="008C584A">
        <w:rPr>
          <w:rFonts w:ascii="Times New Roman" w:eastAsia="Times New Roman" w:hAnsi="Times New Roman" w:cs="Times New Roman"/>
          <w:b/>
          <w:bCs/>
          <w:i/>
          <w:iCs/>
          <w:sz w:val="24"/>
          <w:szCs w:val="24"/>
          <w:lang w:eastAsia="pl-PL"/>
        </w:rPr>
        <w:t>Wydatki inwestycyjne</w:t>
      </w:r>
      <w:bookmarkEnd w:id="56"/>
    </w:p>
    <w:p w14:paraId="184D2847" w14:textId="77777777" w:rsidR="008C584A" w:rsidRPr="008C584A" w:rsidRDefault="008C584A" w:rsidP="006B6EE8">
      <w:pPr>
        <w:spacing w:after="0" w:line="276" w:lineRule="auto"/>
        <w:jc w:val="both"/>
        <w:rPr>
          <w:rFonts w:ascii="Times New Roman" w:eastAsia="Times New Roman" w:hAnsi="Times New Roman" w:cs="Times New Roman"/>
          <w:i/>
          <w:iCs/>
          <w:sz w:val="16"/>
          <w:szCs w:val="16"/>
          <w:lang w:eastAsia="pl-PL"/>
        </w:rPr>
      </w:pPr>
    </w:p>
    <w:p w14:paraId="630EF0E0" w14:textId="0D9A4A62" w:rsid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latach 2014-2022 wydatki inwestycyjne gminy Góra Kalwaria zwiększyły się w wartościach nominalnych z 13,9 mln zł w 2014 r. do 17,6 mln zł w 2018 r. i do 37,4 mln zł w 2022 r. Oznacza to przyrost w wartościach realnych odpowiednio z 15,8 mln zł przez 19,8 mln zł. do 37,4 mln zł. W badanym okresie dynamika wydatków inwestycyjnych wyniosła nominalnie 168,7%, a realnie o 136,7%. Wielkość wydatków była zróżnicowana w poszczególnych latach badanego okresu. Najwyższe inwestycje przypadają na lata: plan 2022 (37,4 mln zł) i rok 2018 (17,6 mln zł) a najniższe na 2020 r. (12,8 mln zł) i 20221 r. (13,9 mln </w:t>
      </w:r>
      <w:r w:rsidRPr="008C584A">
        <w:rPr>
          <w:rFonts w:ascii="Times New Roman" w:eastAsia="Times New Roman" w:hAnsi="Times New Roman" w:cs="Times New Roman"/>
          <w:sz w:val="24"/>
          <w:szCs w:val="24"/>
          <w:lang w:eastAsia="pl-PL"/>
        </w:rPr>
        <w:lastRenderedPageBreak/>
        <w:t>zł). Wielkość wydatków inwestycyjnych gminy Góra Kalwaria w latach 2014-2022 obrazuje ry</w:t>
      </w:r>
      <w:r w:rsidR="00926698">
        <w:rPr>
          <w:rFonts w:ascii="Times New Roman" w:eastAsia="Times New Roman" w:hAnsi="Times New Roman" w:cs="Times New Roman"/>
          <w:sz w:val="24"/>
          <w:szCs w:val="24"/>
          <w:lang w:eastAsia="pl-PL"/>
        </w:rPr>
        <w:t xml:space="preserve">c. 12. </w:t>
      </w:r>
    </w:p>
    <w:p w14:paraId="5155839E" w14:textId="77777777" w:rsidR="003F13DF" w:rsidRPr="008C584A" w:rsidRDefault="003F13DF"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Występująca w gminie tendencja wzrostu jest o tyle ważna, iż zwiększanie własnego potencjału inwestycyjnego podwyższa udział własny gminy we współfinansowaniu inwestycji środkami Unii Europejskiej (wymóg wkładu własnego). Każdy uzyskany wzrost zasobu środków daje możliwość wykorzystania mechanizmu mnożnikowego pozyskania zewnętrznych źródeł finansowania inwestycji.</w:t>
      </w:r>
    </w:p>
    <w:p w14:paraId="16685795" w14:textId="77777777" w:rsidR="003F13DF" w:rsidRPr="008C584A" w:rsidRDefault="003F13DF" w:rsidP="008C584A">
      <w:pPr>
        <w:spacing w:after="0" w:line="240" w:lineRule="auto"/>
        <w:jc w:val="both"/>
        <w:rPr>
          <w:rFonts w:ascii="Times New Roman" w:eastAsia="Times New Roman" w:hAnsi="Times New Roman" w:cs="Times New Roman"/>
          <w:sz w:val="24"/>
          <w:szCs w:val="24"/>
          <w:lang w:eastAsia="pl-PL"/>
        </w:rPr>
      </w:pPr>
    </w:p>
    <w:p w14:paraId="3F75FF5B" w14:textId="2F46C465" w:rsidR="008C584A" w:rsidRPr="008C584A" w:rsidRDefault="008C584A" w:rsidP="008C584A">
      <w:pPr>
        <w:spacing w:after="0" w:line="240" w:lineRule="auto"/>
        <w:jc w:val="both"/>
        <w:rPr>
          <w:rFonts w:ascii="Times New Roman" w:eastAsia="Times New Roman" w:hAnsi="Times New Roman" w:cs="Times New Roman"/>
          <w:sz w:val="24"/>
          <w:szCs w:val="24"/>
          <w:lang w:eastAsia="pl-PL"/>
        </w:rPr>
      </w:pPr>
      <w:bookmarkStart w:id="57" w:name="_Hlk119636807"/>
      <w:r w:rsidRPr="008C584A">
        <w:rPr>
          <w:rFonts w:ascii="Times New Roman" w:eastAsia="Times New Roman" w:hAnsi="Times New Roman" w:cs="Times New Roman"/>
          <w:sz w:val="24"/>
          <w:szCs w:val="24"/>
          <w:lang w:eastAsia="pl-PL"/>
        </w:rPr>
        <w:t xml:space="preserve"> </w:t>
      </w:r>
      <w:r w:rsidRPr="008C584A">
        <w:rPr>
          <w:rFonts w:ascii="Times New Roman" w:eastAsia="Times New Roman" w:hAnsi="Times New Roman" w:cs="Times New Roman"/>
          <w:sz w:val="24"/>
          <w:szCs w:val="20"/>
          <w:lang w:eastAsia="pl-PL"/>
        </w:rPr>
        <w:t>Ry</w:t>
      </w:r>
      <w:r w:rsidR="00926698">
        <w:rPr>
          <w:rFonts w:ascii="Times New Roman" w:eastAsia="Times New Roman" w:hAnsi="Times New Roman" w:cs="Times New Roman"/>
          <w:sz w:val="24"/>
          <w:szCs w:val="20"/>
          <w:lang w:eastAsia="pl-PL"/>
        </w:rPr>
        <w:t xml:space="preserve">c.12. </w:t>
      </w:r>
      <w:r w:rsidRPr="008C584A">
        <w:rPr>
          <w:rFonts w:ascii="Times New Roman" w:eastAsia="Times New Roman" w:hAnsi="Times New Roman" w:cs="Times New Roman"/>
          <w:sz w:val="24"/>
          <w:szCs w:val="24"/>
          <w:lang w:eastAsia="pl-PL"/>
        </w:rPr>
        <w:t xml:space="preserve"> Wydatki inwestycyjne budżetu gminy Góra Kalwaria w latach 2014-2022 w zł.</w:t>
      </w:r>
    </w:p>
    <w:bookmarkEnd w:id="57"/>
    <w:p w14:paraId="2CD21F99" w14:textId="77777777" w:rsidR="008C584A" w:rsidRPr="008C584A" w:rsidRDefault="008C584A" w:rsidP="008C584A">
      <w:pPr>
        <w:spacing w:after="0" w:line="240" w:lineRule="auto"/>
        <w:jc w:val="both"/>
        <w:rPr>
          <w:rFonts w:ascii="Times New Roman" w:eastAsia="Times New Roman" w:hAnsi="Times New Roman" w:cs="Times New Roman"/>
          <w:i/>
          <w:iCs/>
          <w:sz w:val="24"/>
          <w:szCs w:val="24"/>
          <w:lang w:eastAsia="pl-PL"/>
        </w:rPr>
      </w:pPr>
      <w:r w:rsidRPr="008C584A">
        <w:rPr>
          <w:rFonts w:ascii="Times New Roman" w:eastAsia="Times New Roman" w:hAnsi="Times New Roman" w:cs="Times New Roman"/>
          <w:noProof/>
          <w:sz w:val="24"/>
          <w:szCs w:val="20"/>
          <w:lang w:eastAsia="pl-PL"/>
        </w:rPr>
        <w:drawing>
          <wp:inline distT="0" distB="0" distL="0" distR="0" wp14:anchorId="207200EC" wp14:editId="509A139B">
            <wp:extent cx="5473700" cy="2476500"/>
            <wp:effectExtent l="0" t="0" r="12700" b="0"/>
            <wp:docPr id="20" name="Wykres 20">
              <a:extLst xmlns:a="http://schemas.openxmlformats.org/drawingml/2006/main">
                <a:ext uri="{FF2B5EF4-FFF2-40B4-BE49-F238E27FC236}">
                  <a16:creationId xmlns:a16="http://schemas.microsoft.com/office/drawing/2014/main" id="{B91D456A-0A0E-4038-85BC-9FC715A1A5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4130CBF" w14:textId="77777777" w:rsidR="008C584A" w:rsidRPr="008C584A" w:rsidRDefault="008C584A" w:rsidP="008C584A">
      <w:pPr>
        <w:spacing w:after="0" w:line="240" w:lineRule="auto"/>
        <w:jc w:val="both"/>
        <w:rPr>
          <w:rFonts w:ascii="Times New Roman" w:eastAsia="Times New Roman" w:hAnsi="Times New Roman" w:cs="Times New Roman"/>
          <w:sz w:val="20"/>
          <w:szCs w:val="20"/>
          <w:lang w:eastAsia="pl-PL"/>
        </w:rPr>
      </w:pPr>
      <w:r w:rsidRPr="008C584A">
        <w:rPr>
          <w:rFonts w:ascii="Times New Roman" w:eastAsia="Times New Roman" w:hAnsi="Times New Roman" w:cs="Times New Roman"/>
          <w:sz w:val="20"/>
          <w:szCs w:val="20"/>
          <w:lang w:eastAsia="pl-PL"/>
        </w:rPr>
        <w:t>Źródło: rysunek autorów na podstawie danych Urzędu Gminy Góra Kalwaria</w:t>
      </w:r>
    </w:p>
    <w:p w14:paraId="39DCBEE6" w14:textId="77777777" w:rsidR="008C584A" w:rsidRPr="008C584A" w:rsidRDefault="008C584A" w:rsidP="008C584A">
      <w:pPr>
        <w:spacing w:after="0" w:line="312" w:lineRule="auto"/>
        <w:jc w:val="both"/>
        <w:rPr>
          <w:rFonts w:ascii="Times New Roman" w:eastAsia="Times New Roman" w:hAnsi="Times New Roman" w:cs="Times New Roman"/>
          <w:i/>
          <w:iCs/>
          <w:sz w:val="16"/>
          <w:szCs w:val="16"/>
          <w:lang w:eastAsia="pl-PL"/>
        </w:rPr>
      </w:pPr>
    </w:p>
    <w:p w14:paraId="27F285FF" w14:textId="6CAD9880"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Strukturę wydatków inwestycyjnych gminy w latach 2014-2022 zestawiono w tabeli </w:t>
      </w:r>
      <w:r w:rsidR="00926698">
        <w:rPr>
          <w:rFonts w:ascii="Times New Roman" w:eastAsia="Times New Roman" w:hAnsi="Times New Roman" w:cs="Times New Roman"/>
          <w:sz w:val="24"/>
          <w:szCs w:val="24"/>
          <w:lang w:eastAsia="pl-PL"/>
        </w:rPr>
        <w:t>12</w:t>
      </w:r>
      <w:r w:rsidRPr="008C584A">
        <w:rPr>
          <w:rFonts w:ascii="Times New Roman" w:eastAsia="Times New Roman" w:hAnsi="Times New Roman" w:cs="Times New Roman"/>
          <w:sz w:val="24"/>
          <w:szCs w:val="24"/>
          <w:lang w:eastAsia="pl-PL"/>
        </w:rPr>
        <w:t>,  której ilustracja graficzną w ujęciu procentowym jest  ry</w:t>
      </w:r>
      <w:r w:rsidR="00926698">
        <w:rPr>
          <w:rFonts w:ascii="Times New Roman" w:eastAsia="Times New Roman" w:hAnsi="Times New Roman" w:cs="Times New Roman"/>
          <w:sz w:val="24"/>
          <w:szCs w:val="24"/>
          <w:lang w:eastAsia="pl-PL"/>
        </w:rPr>
        <w:t>c.</w:t>
      </w:r>
      <w:r w:rsidRPr="008C584A">
        <w:rPr>
          <w:rFonts w:ascii="Times New Roman" w:eastAsia="Times New Roman" w:hAnsi="Times New Roman" w:cs="Times New Roman"/>
          <w:sz w:val="24"/>
          <w:szCs w:val="24"/>
          <w:lang w:eastAsia="pl-PL"/>
        </w:rPr>
        <w:t xml:space="preserve"> </w:t>
      </w:r>
      <w:r w:rsidR="00926698">
        <w:rPr>
          <w:rFonts w:ascii="Times New Roman" w:eastAsia="Times New Roman" w:hAnsi="Times New Roman" w:cs="Times New Roman"/>
          <w:sz w:val="24"/>
          <w:szCs w:val="24"/>
          <w:lang w:eastAsia="pl-PL"/>
        </w:rPr>
        <w:t>13</w:t>
      </w:r>
      <w:r w:rsidRPr="008C584A">
        <w:rPr>
          <w:rFonts w:ascii="Times New Roman" w:eastAsia="Times New Roman" w:hAnsi="Times New Roman" w:cs="Times New Roman"/>
          <w:sz w:val="24"/>
          <w:szCs w:val="24"/>
          <w:lang w:eastAsia="pl-PL"/>
        </w:rPr>
        <w:t xml:space="preserve">.  </w:t>
      </w:r>
    </w:p>
    <w:p w14:paraId="4B802CA0" w14:textId="77777777" w:rsidR="00926698" w:rsidRDefault="00926698" w:rsidP="008C584A">
      <w:pPr>
        <w:spacing w:after="0" w:line="240" w:lineRule="auto"/>
        <w:jc w:val="both"/>
        <w:rPr>
          <w:rFonts w:ascii="Times New Roman" w:eastAsia="Times New Roman" w:hAnsi="Times New Roman" w:cs="Times New Roman"/>
          <w:sz w:val="24"/>
          <w:szCs w:val="24"/>
          <w:lang w:eastAsia="pl-PL"/>
        </w:rPr>
      </w:pPr>
    </w:p>
    <w:p w14:paraId="1E0B5950" w14:textId="2AA14CCD" w:rsidR="008C584A" w:rsidRPr="008C584A" w:rsidRDefault="008C584A" w:rsidP="008C584A">
      <w:pPr>
        <w:spacing w:after="0" w:line="240" w:lineRule="auto"/>
        <w:jc w:val="both"/>
        <w:rPr>
          <w:rFonts w:ascii="Times New Roman" w:eastAsia="Times New Roman" w:hAnsi="Times New Roman" w:cs="Times New Roman"/>
          <w:sz w:val="24"/>
          <w:szCs w:val="24"/>
          <w:lang w:eastAsia="pl-PL"/>
        </w:rPr>
      </w:pPr>
      <w:bookmarkStart w:id="58" w:name="_Hlk119636942"/>
      <w:r w:rsidRPr="008C584A">
        <w:rPr>
          <w:rFonts w:ascii="Times New Roman" w:eastAsia="Times New Roman" w:hAnsi="Times New Roman" w:cs="Times New Roman"/>
          <w:sz w:val="24"/>
          <w:szCs w:val="24"/>
          <w:lang w:eastAsia="pl-PL"/>
        </w:rPr>
        <w:t xml:space="preserve">Tabela </w:t>
      </w:r>
      <w:r w:rsidR="00926698">
        <w:rPr>
          <w:rFonts w:ascii="Times New Roman" w:eastAsia="Times New Roman" w:hAnsi="Times New Roman" w:cs="Times New Roman"/>
          <w:sz w:val="24"/>
          <w:szCs w:val="24"/>
          <w:lang w:eastAsia="pl-PL"/>
        </w:rPr>
        <w:t xml:space="preserve">12. </w:t>
      </w:r>
      <w:r w:rsidRPr="008C584A">
        <w:rPr>
          <w:rFonts w:ascii="Times New Roman" w:eastAsia="Times New Roman" w:hAnsi="Times New Roman" w:cs="Times New Roman"/>
          <w:sz w:val="24"/>
          <w:szCs w:val="24"/>
          <w:lang w:eastAsia="pl-PL"/>
        </w:rPr>
        <w:t xml:space="preserve"> Struktura wydatków inwestycyjnych w latach 2014-2022 w zł.</w:t>
      </w:r>
    </w:p>
    <w:tbl>
      <w:tblPr>
        <w:tblW w:w="9306" w:type="dxa"/>
        <w:tblInd w:w="75" w:type="dxa"/>
        <w:tblCellMar>
          <w:left w:w="70" w:type="dxa"/>
          <w:right w:w="70" w:type="dxa"/>
        </w:tblCellMar>
        <w:tblLook w:val="04A0" w:firstRow="1" w:lastRow="0" w:firstColumn="1" w:lastColumn="0" w:noHBand="0" w:noVBand="1"/>
      </w:tblPr>
      <w:tblGrid>
        <w:gridCol w:w="1380"/>
        <w:gridCol w:w="870"/>
        <w:gridCol w:w="857"/>
        <w:gridCol w:w="621"/>
        <w:gridCol w:w="746"/>
        <w:gridCol w:w="718"/>
        <w:gridCol w:w="709"/>
        <w:gridCol w:w="567"/>
        <w:gridCol w:w="709"/>
        <w:gridCol w:w="992"/>
        <w:gridCol w:w="1164"/>
      </w:tblGrid>
      <w:tr w:rsidR="003F13DF" w:rsidRPr="005155C7" w14:paraId="7A6DEEEC" w14:textId="77777777" w:rsidTr="005155C7">
        <w:trPr>
          <w:trHeight w:val="263"/>
        </w:trPr>
        <w:tc>
          <w:tcPr>
            <w:tcW w:w="1353"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bottom"/>
            <w:hideMark/>
          </w:tcPr>
          <w:bookmarkEnd w:id="58"/>
          <w:p w14:paraId="346E0517"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 Wyszczególnienie</w:t>
            </w:r>
          </w:p>
        </w:tc>
        <w:tc>
          <w:tcPr>
            <w:tcW w:w="8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7BC61194"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2012</w:t>
            </w:r>
          </w:p>
        </w:tc>
        <w:tc>
          <w:tcPr>
            <w:tcW w:w="85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789D4CE1"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2013</w:t>
            </w:r>
          </w:p>
        </w:tc>
        <w:tc>
          <w:tcPr>
            <w:tcW w:w="62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459B4627"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2014</w:t>
            </w:r>
          </w:p>
        </w:tc>
        <w:tc>
          <w:tcPr>
            <w:tcW w:w="74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70DF2E17"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2015</w:t>
            </w:r>
          </w:p>
        </w:tc>
        <w:tc>
          <w:tcPr>
            <w:tcW w:w="71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3CF82616"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2016</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16D9EC0B"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2017</w:t>
            </w:r>
          </w:p>
        </w:tc>
        <w:tc>
          <w:tcPr>
            <w:tcW w:w="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hideMark/>
          </w:tcPr>
          <w:p w14:paraId="41411180"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2018</w:t>
            </w:r>
          </w:p>
        </w:tc>
        <w:tc>
          <w:tcPr>
            <w:tcW w:w="709" w:type="dxa"/>
            <w:tcBorders>
              <w:top w:val="single" w:sz="4" w:space="0" w:color="auto"/>
              <w:left w:val="nil"/>
              <w:bottom w:val="single" w:sz="4" w:space="0" w:color="auto"/>
              <w:right w:val="single" w:sz="4" w:space="0" w:color="auto"/>
            </w:tcBorders>
            <w:shd w:val="clear" w:color="auto" w:fill="D9E2F3" w:themeFill="accent1" w:themeFillTint="33"/>
            <w:vAlign w:val="bottom"/>
            <w:hideMark/>
          </w:tcPr>
          <w:p w14:paraId="78493B7B"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2019</w:t>
            </w:r>
          </w:p>
        </w:tc>
        <w:tc>
          <w:tcPr>
            <w:tcW w:w="992" w:type="dxa"/>
            <w:tcBorders>
              <w:top w:val="single" w:sz="4" w:space="0" w:color="auto"/>
              <w:left w:val="nil"/>
              <w:bottom w:val="single" w:sz="4" w:space="0" w:color="auto"/>
              <w:right w:val="single" w:sz="4" w:space="0" w:color="auto"/>
            </w:tcBorders>
            <w:shd w:val="clear" w:color="auto" w:fill="D9E2F3" w:themeFill="accent1" w:themeFillTint="33"/>
            <w:vAlign w:val="bottom"/>
            <w:hideMark/>
          </w:tcPr>
          <w:p w14:paraId="2C7BD1AD"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2020</w:t>
            </w:r>
          </w:p>
        </w:tc>
        <w:tc>
          <w:tcPr>
            <w:tcW w:w="1164"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25279438" w14:textId="77777777" w:rsidR="008C584A" w:rsidRPr="005155C7" w:rsidRDefault="008C584A" w:rsidP="008C584A">
            <w:pPr>
              <w:spacing w:after="0" w:line="240" w:lineRule="auto"/>
              <w:jc w:val="center"/>
              <w:rPr>
                <w:rFonts w:ascii="Times New Roman" w:eastAsia="Times New Roman" w:hAnsi="Times New Roman" w:cs="Times New Roman"/>
                <w:b/>
                <w:bCs/>
                <w:color w:val="000000"/>
                <w:sz w:val="16"/>
                <w:szCs w:val="16"/>
                <w:lang w:eastAsia="pl-PL"/>
              </w:rPr>
            </w:pPr>
            <w:r w:rsidRPr="005155C7">
              <w:rPr>
                <w:rFonts w:ascii="Times New Roman" w:eastAsia="Times New Roman" w:hAnsi="Times New Roman" w:cs="Times New Roman"/>
                <w:b/>
                <w:bCs/>
                <w:color w:val="000000"/>
                <w:sz w:val="16"/>
                <w:szCs w:val="16"/>
                <w:lang w:eastAsia="pl-PL"/>
              </w:rPr>
              <w:t>Razem</w:t>
            </w:r>
          </w:p>
        </w:tc>
      </w:tr>
      <w:tr w:rsidR="003F13DF" w:rsidRPr="008C584A" w14:paraId="415EB34D"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673D7FB"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Rolnictwo i łowiectwo</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1A8F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364 698</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B5A4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3342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49 400</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3A3C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72 760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E5E8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141 592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C85E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173 000</w:t>
            </w:r>
          </w:p>
        </w:tc>
        <w:tc>
          <w:tcPr>
            <w:tcW w:w="567" w:type="dxa"/>
            <w:tcBorders>
              <w:top w:val="single" w:sz="4" w:space="0" w:color="auto"/>
              <w:left w:val="single" w:sz="4" w:space="0" w:color="auto"/>
              <w:bottom w:val="single" w:sz="4" w:space="0" w:color="auto"/>
              <w:right w:val="nil"/>
            </w:tcBorders>
            <w:shd w:val="clear" w:color="auto" w:fill="auto"/>
            <w:noWrap/>
            <w:vAlign w:val="bottom"/>
            <w:hideMark/>
          </w:tcPr>
          <w:p w14:paraId="383ADA1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1 231 748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CDB45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24 255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28D5856"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13 930 917</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23829B1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15 988 370</w:t>
            </w:r>
          </w:p>
          <w:p w14:paraId="6484452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p>
        </w:tc>
      </w:tr>
      <w:tr w:rsidR="003F13DF" w:rsidRPr="008C584A" w14:paraId="68063B2C"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91176A6"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Transport i łączność</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5E01AAC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3 460 259</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010254E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2 602 835</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518051B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2 894 872</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42CB1ED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2 648 280</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0569EE4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3 291 162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BE5DB2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1 718 965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C16239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3 289 753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860345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2 853 262</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DC3E6C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7 140 449</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0F7A75C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29 899 837</w:t>
            </w:r>
          </w:p>
        </w:tc>
      </w:tr>
      <w:tr w:rsidR="003F13DF" w:rsidRPr="008C584A" w14:paraId="0DF34E5C"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218F0E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Gospodarka mieszkaniowa</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21DFD48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2 754 838</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22E8C80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1 988 768</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574ED35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2 050 496</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060DA04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4 316 954</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53CB3D3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3 683 962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6F8CE0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2 210 524</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205F63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978 741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9C22FA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2 160 748</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9AB1DE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1 435 000</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64A7A1B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21 580 030</w:t>
            </w:r>
          </w:p>
        </w:tc>
      </w:tr>
      <w:tr w:rsidR="003F13DF" w:rsidRPr="008C584A" w14:paraId="619546B9"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A11DC57"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Administracja publiczna</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2A3EC2E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88 663</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44C90FA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215 302</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706B83A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367 392</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67A606F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140 797</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67660A3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297 620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0A2F40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276 430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678FA7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90 236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A2DE1C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627 726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D3C5A4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1 188 789</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5F5F2ED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3 292 955</w:t>
            </w:r>
          </w:p>
        </w:tc>
      </w:tr>
      <w:tr w:rsidR="003F13DF" w:rsidRPr="008C584A" w14:paraId="672F8DFE"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C705C4"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Bezpieczeństwo publiczne i ochr. pp</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512E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402 800</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24A6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785 760</w:t>
            </w:r>
          </w:p>
        </w:tc>
        <w:tc>
          <w:tcPr>
            <w:tcW w:w="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D5D9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10 058</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CFDD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572 147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2141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749 578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9960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723 920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DD5C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380 290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DF19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415 850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A8C6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177 517</w:t>
            </w:r>
          </w:p>
        </w:tc>
        <w:tc>
          <w:tcPr>
            <w:tcW w:w="11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8C44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4 217 920</w:t>
            </w:r>
          </w:p>
        </w:tc>
      </w:tr>
      <w:tr w:rsidR="003F13DF" w:rsidRPr="008C584A" w14:paraId="30D1AAC6"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67492E"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Oświata i wychowanie</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F1F8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1 826 774</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8A81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1 916 550</w:t>
            </w:r>
          </w:p>
        </w:tc>
        <w:tc>
          <w:tcPr>
            <w:tcW w:w="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F5BA2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7 121 436</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F403D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2 399 838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3875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4 820 116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B6B8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1 403 494</w:t>
            </w:r>
          </w:p>
        </w:tc>
        <w:tc>
          <w:tcPr>
            <w:tcW w:w="567" w:type="dxa"/>
            <w:tcBorders>
              <w:top w:val="single" w:sz="4" w:space="0" w:color="auto"/>
              <w:left w:val="single" w:sz="4" w:space="0" w:color="auto"/>
              <w:bottom w:val="single" w:sz="4" w:space="0" w:color="auto"/>
              <w:right w:val="nil"/>
            </w:tcBorders>
            <w:shd w:val="clear" w:color="auto" w:fill="auto"/>
            <w:noWrap/>
            <w:vAlign w:val="bottom"/>
            <w:hideMark/>
          </w:tcPr>
          <w:p w14:paraId="7E499F0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1 050 797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64F6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417 506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500A1B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802 126</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5449DDE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21 758 637</w:t>
            </w:r>
          </w:p>
        </w:tc>
      </w:tr>
      <w:tr w:rsidR="003F13DF" w:rsidRPr="008C584A" w14:paraId="5F03721F"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69143F2"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Gospodarka  komunalna i ochr. środ.</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3DE888D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2 123 681</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1CD63F3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4 910 070</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62436FF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1 541 887</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502BAB9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1 826 169</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36630E5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4 006 155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12AA9F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3 866 165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CC7AB6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4 619 568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30717C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4 721 942</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228488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11200 704</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1E73E42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38 816 341</w:t>
            </w:r>
          </w:p>
        </w:tc>
      </w:tr>
      <w:tr w:rsidR="003F13DF" w:rsidRPr="008C584A" w14:paraId="48DA85AF"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3DE894"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Kultura i ochrona dziedzictwa narodowego</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3C103D0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66 221</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5601DF0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972 071</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20D6E7B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73 036</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6F832F5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180 443</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16BC05B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634AAC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D8877F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45 000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76E6F1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248 593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2A84F5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132 882</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1DF7DCB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1 718 245</w:t>
            </w:r>
          </w:p>
        </w:tc>
      </w:tr>
      <w:tr w:rsidR="003F13DF" w:rsidRPr="008C584A" w14:paraId="5B1B9321"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476F6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Kultura fiz. i sport</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098A952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1 900 563</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2489740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180 457</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4835267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244 009</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3A11B6C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329 481</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549EB98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495 167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8404ED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488 745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61CEC3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821 224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E9FB61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2 306 285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019EA6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1 193 031</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2D42149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7 958 961</w:t>
            </w:r>
          </w:p>
        </w:tc>
      </w:tr>
      <w:tr w:rsidR="003F13DF" w:rsidRPr="008C584A" w14:paraId="78F4D2DB"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E84961"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Ochrona zdrowia</w:t>
            </w:r>
          </w:p>
        </w:tc>
        <w:tc>
          <w:tcPr>
            <w:tcW w:w="870" w:type="dxa"/>
            <w:tcBorders>
              <w:top w:val="single" w:sz="4" w:space="0" w:color="auto"/>
              <w:left w:val="nil"/>
              <w:bottom w:val="single" w:sz="4" w:space="0" w:color="auto"/>
              <w:right w:val="single" w:sz="4" w:space="0" w:color="auto"/>
            </w:tcBorders>
            <w:shd w:val="clear" w:color="000000" w:fill="FFFFFF"/>
            <w:noWrap/>
            <w:vAlign w:val="bottom"/>
            <w:hideMark/>
          </w:tcPr>
          <w:p w14:paraId="2953F9C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936 276</w:t>
            </w:r>
          </w:p>
        </w:tc>
        <w:tc>
          <w:tcPr>
            <w:tcW w:w="857" w:type="dxa"/>
            <w:tcBorders>
              <w:top w:val="single" w:sz="4" w:space="0" w:color="auto"/>
              <w:left w:val="nil"/>
              <w:bottom w:val="single" w:sz="4" w:space="0" w:color="auto"/>
              <w:right w:val="single" w:sz="4" w:space="0" w:color="auto"/>
            </w:tcBorders>
            <w:shd w:val="clear" w:color="000000" w:fill="FFFFFF"/>
            <w:noWrap/>
            <w:vAlign w:val="bottom"/>
            <w:hideMark/>
          </w:tcPr>
          <w:p w14:paraId="15A17A6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42 250</w:t>
            </w:r>
          </w:p>
        </w:tc>
        <w:tc>
          <w:tcPr>
            <w:tcW w:w="621" w:type="dxa"/>
            <w:tcBorders>
              <w:top w:val="single" w:sz="4" w:space="0" w:color="auto"/>
              <w:left w:val="nil"/>
              <w:bottom w:val="single" w:sz="4" w:space="0" w:color="auto"/>
              <w:right w:val="single" w:sz="4" w:space="0" w:color="auto"/>
            </w:tcBorders>
            <w:shd w:val="clear" w:color="000000" w:fill="FFFFFF"/>
            <w:noWrap/>
            <w:vAlign w:val="bottom"/>
            <w:hideMark/>
          </w:tcPr>
          <w:p w14:paraId="6EE226C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93 393</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14:paraId="74F653D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14:paraId="28FB5E1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30 318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E562D8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23 089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B1CF68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12A36C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94 559</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B84C17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50 000</w:t>
            </w:r>
          </w:p>
        </w:tc>
        <w:tc>
          <w:tcPr>
            <w:tcW w:w="1164" w:type="dxa"/>
            <w:tcBorders>
              <w:top w:val="single" w:sz="4" w:space="0" w:color="auto"/>
              <w:left w:val="nil"/>
              <w:bottom w:val="single" w:sz="4" w:space="0" w:color="auto"/>
              <w:right w:val="single" w:sz="4" w:space="0" w:color="auto"/>
            </w:tcBorders>
            <w:shd w:val="clear" w:color="auto" w:fill="auto"/>
            <w:noWrap/>
            <w:vAlign w:val="bottom"/>
            <w:hideMark/>
          </w:tcPr>
          <w:p w14:paraId="3EFFDE0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1 269 886</w:t>
            </w:r>
          </w:p>
        </w:tc>
      </w:tr>
      <w:tr w:rsidR="003F13DF" w:rsidRPr="008C584A" w14:paraId="2F16ECEA" w14:textId="77777777" w:rsidTr="003F13DF">
        <w:trPr>
          <w:trHeight w:val="240"/>
        </w:trPr>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4A1D7C" w14:textId="1D92E198"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Pomoc społecza+</w:t>
            </w:r>
            <w:r w:rsidR="003F13DF">
              <w:rPr>
                <w:rFonts w:ascii="Times New Roman" w:eastAsia="Times New Roman" w:hAnsi="Times New Roman" w:cs="Times New Roman"/>
                <w:sz w:val="16"/>
                <w:szCs w:val="16"/>
                <w:lang w:eastAsia="pl-PL"/>
              </w:rPr>
              <w:t>r</w:t>
            </w:r>
            <w:r w:rsidRPr="008C584A">
              <w:rPr>
                <w:rFonts w:ascii="Times New Roman" w:eastAsia="Times New Roman" w:hAnsi="Times New Roman" w:cs="Times New Roman"/>
                <w:sz w:val="16"/>
                <w:szCs w:val="16"/>
                <w:lang w:eastAsia="pl-PL"/>
              </w:rPr>
              <w:t>odzina</w:t>
            </w:r>
          </w:p>
        </w:tc>
        <w:tc>
          <w:tcPr>
            <w:tcW w:w="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9F6B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0,00</w:t>
            </w:r>
          </w:p>
        </w:tc>
        <w:tc>
          <w:tcPr>
            <w:tcW w:w="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59933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0,00</w:t>
            </w:r>
          </w:p>
        </w:tc>
        <w:tc>
          <w:tcPr>
            <w:tcW w:w="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126D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0,00</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C67D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0,00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96DF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D618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290 172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3FB2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50 081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698C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FD81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38 000</w:t>
            </w:r>
          </w:p>
        </w:tc>
        <w:tc>
          <w:tcPr>
            <w:tcW w:w="11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0F2F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378 252</w:t>
            </w:r>
          </w:p>
        </w:tc>
      </w:tr>
    </w:tbl>
    <w:p w14:paraId="1D8BA38D" w14:textId="26E549AE" w:rsidR="008C584A" w:rsidRPr="003F13DF" w:rsidRDefault="008C584A" w:rsidP="008C584A">
      <w:pPr>
        <w:spacing w:after="0" w:line="360" w:lineRule="auto"/>
        <w:rPr>
          <w:rFonts w:ascii="Times New Roman" w:eastAsia="Times New Roman" w:hAnsi="Times New Roman" w:cs="Times New Roman"/>
          <w:sz w:val="24"/>
          <w:szCs w:val="24"/>
          <w:lang w:eastAsia="pl-PL"/>
        </w:rPr>
      </w:pPr>
      <w:r w:rsidRPr="003F13DF">
        <w:rPr>
          <w:rFonts w:ascii="Times New Roman" w:eastAsia="Times New Roman" w:hAnsi="Times New Roman" w:cs="Times New Roman"/>
          <w:sz w:val="24"/>
          <w:szCs w:val="24"/>
          <w:lang w:eastAsia="pl-PL"/>
        </w:rPr>
        <w:t>Źródło: obliczenia autora na podstawie danych budżetów Gminy Góra Kalwaria.</w:t>
      </w:r>
    </w:p>
    <w:p w14:paraId="0279CA88" w14:textId="77777777" w:rsidR="003F13DF" w:rsidRPr="008C584A" w:rsidRDefault="003F13DF" w:rsidP="008C584A">
      <w:pPr>
        <w:spacing w:after="0" w:line="360" w:lineRule="auto"/>
        <w:rPr>
          <w:rFonts w:ascii="Times New Roman" w:eastAsia="Times New Roman" w:hAnsi="Times New Roman" w:cs="Times New Roman"/>
          <w:sz w:val="18"/>
          <w:szCs w:val="18"/>
          <w:lang w:eastAsia="pl-PL"/>
        </w:rPr>
      </w:pPr>
    </w:p>
    <w:p w14:paraId="110E2A33" w14:textId="78024788" w:rsidR="008C584A" w:rsidRPr="008C584A" w:rsidRDefault="008C584A" w:rsidP="008C584A">
      <w:pPr>
        <w:spacing w:after="0" w:line="312" w:lineRule="auto"/>
        <w:jc w:val="both"/>
        <w:rPr>
          <w:rFonts w:ascii="Times New Roman" w:eastAsia="Times New Roman" w:hAnsi="Times New Roman" w:cs="Times New Roman"/>
          <w:sz w:val="24"/>
          <w:szCs w:val="24"/>
          <w:lang w:eastAsia="pl-PL"/>
        </w:rPr>
      </w:pPr>
      <w:bookmarkStart w:id="59" w:name="_Hlk119636916"/>
      <w:r w:rsidRPr="008C584A">
        <w:rPr>
          <w:rFonts w:ascii="Times New Roman" w:eastAsia="Times New Roman" w:hAnsi="Times New Roman" w:cs="Times New Roman"/>
          <w:sz w:val="24"/>
          <w:szCs w:val="24"/>
          <w:lang w:eastAsia="pl-PL"/>
        </w:rPr>
        <w:lastRenderedPageBreak/>
        <w:t>Ry</w:t>
      </w:r>
      <w:r w:rsidR="00926698">
        <w:rPr>
          <w:rFonts w:ascii="Times New Roman" w:eastAsia="Times New Roman" w:hAnsi="Times New Roman" w:cs="Times New Roman"/>
          <w:sz w:val="24"/>
          <w:szCs w:val="24"/>
          <w:lang w:eastAsia="pl-PL"/>
        </w:rPr>
        <w:t>c. 13.</w:t>
      </w:r>
      <w:r w:rsidRPr="008C584A">
        <w:rPr>
          <w:rFonts w:ascii="Times New Roman" w:eastAsia="Calibri" w:hAnsi="Times New Roman" w:cs="Times New Roman"/>
          <w:color w:val="424242"/>
          <w:kern w:val="24"/>
          <w:sz w:val="28"/>
          <w:szCs w:val="28"/>
          <w:lang w:eastAsia="pl-PL"/>
        </w:rPr>
        <w:t xml:space="preserve"> </w:t>
      </w:r>
      <w:r w:rsidRPr="008C584A">
        <w:rPr>
          <w:rFonts w:ascii="Times New Roman" w:eastAsia="Times New Roman" w:hAnsi="Times New Roman" w:cs="Times New Roman"/>
          <w:sz w:val="24"/>
          <w:szCs w:val="24"/>
          <w:lang w:eastAsia="pl-PL"/>
        </w:rPr>
        <w:t>Struktura wydatków inwestycyjnych gminy Góra Kalwaria w latach 2014-2022</w:t>
      </w:r>
    </w:p>
    <w:bookmarkEnd w:id="59"/>
    <w:p w14:paraId="67758F10" w14:textId="77777777" w:rsidR="008C584A" w:rsidRPr="008C584A" w:rsidRDefault="008C584A" w:rsidP="008C584A">
      <w:pPr>
        <w:spacing w:after="0" w:line="240" w:lineRule="auto"/>
        <w:jc w:val="both"/>
        <w:rPr>
          <w:rFonts w:ascii="Arial Narrow" w:eastAsia="Times New Roman" w:hAnsi="Arial Narrow" w:cs="Times New Roman"/>
          <w:i/>
          <w:iCs/>
          <w:sz w:val="18"/>
          <w:szCs w:val="24"/>
          <w:lang w:eastAsia="pl-PL"/>
        </w:rPr>
      </w:pPr>
      <w:r w:rsidRPr="008C584A">
        <w:rPr>
          <w:rFonts w:ascii="Times New Roman" w:eastAsia="Times New Roman" w:hAnsi="Times New Roman" w:cs="Times New Roman"/>
          <w:noProof/>
          <w:sz w:val="24"/>
          <w:szCs w:val="20"/>
          <w:lang w:eastAsia="pl-PL"/>
        </w:rPr>
        <w:drawing>
          <wp:inline distT="0" distB="0" distL="0" distR="0" wp14:anchorId="41EF1227" wp14:editId="0B982AC7">
            <wp:extent cx="5705475" cy="2971800"/>
            <wp:effectExtent l="0" t="0" r="9525" b="0"/>
            <wp:docPr id="21" name="Wykres 21">
              <a:extLst xmlns:a="http://schemas.openxmlformats.org/drawingml/2006/main">
                <a:ext uri="{FF2B5EF4-FFF2-40B4-BE49-F238E27FC236}">
                  <a16:creationId xmlns:a16="http://schemas.microsoft.com/office/drawing/2014/main" id="{A0218A77-197D-FFE3-0FD4-70EE123297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3FE3CEB" w14:textId="77777777" w:rsidR="008C584A" w:rsidRPr="003F13DF" w:rsidRDefault="008C584A" w:rsidP="003F13DF">
      <w:pPr>
        <w:spacing w:after="0" w:line="276" w:lineRule="auto"/>
        <w:ind w:firstLine="340"/>
        <w:jc w:val="both"/>
        <w:rPr>
          <w:rFonts w:ascii="Times New Roman" w:eastAsia="Times New Roman" w:hAnsi="Times New Roman" w:cs="Times New Roman"/>
          <w:sz w:val="24"/>
          <w:szCs w:val="24"/>
          <w:lang w:eastAsia="pl-PL"/>
        </w:rPr>
      </w:pPr>
      <w:r w:rsidRPr="003F13DF">
        <w:rPr>
          <w:rFonts w:ascii="Times New Roman" w:eastAsia="Times New Roman" w:hAnsi="Times New Roman" w:cs="Times New Roman"/>
          <w:sz w:val="24"/>
          <w:szCs w:val="24"/>
          <w:lang w:eastAsia="pl-PL"/>
        </w:rPr>
        <w:t>Źródło: rysunek autora na podstawie danych Urzędu Gminy Góra Kalwaria</w:t>
      </w:r>
    </w:p>
    <w:p w14:paraId="6B73D09F" w14:textId="77777777" w:rsidR="008C584A" w:rsidRPr="008C584A" w:rsidRDefault="008C584A" w:rsidP="003F13DF">
      <w:pPr>
        <w:spacing w:after="0" w:line="276" w:lineRule="auto"/>
        <w:ind w:firstLine="340"/>
        <w:jc w:val="both"/>
        <w:rPr>
          <w:rFonts w:ascii="Times New Roman" w:eastAsia="Times New Roman" w:hAnsi="Times New Roman" w:cs="Times New Roman"/>
          <w:i/>
          <w:iCs/>
          <w:sz w:val="24"/>
          <w:szCs w:val="24"/>
          <w:lang w:eastAsia="pl-PL"/>
        </w:rPr>
      </w:pPr>
    </w:p>
    <w:p w14:paraId="55174804" w14:textId="77777777" w:rsidR="008C584A" w:rsidRPr="008C584A" w:rsidRDefault="008C584A" w:rsidP="003F13DF">
      <w:pPr>
        <w:spacing w:after="0" w:line="276" w:lineRule="auto"/>
        <w:ind w:firstLine="340"/>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strukturze wydatków inwestycyjnych budżetu Gminy Góra Kalwaria: </w:t>
      </w:r>
    </w:p>
    <w:p w14:paraId="79329CCA"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 ostatnich latach najwyższe kwoty inwestowano w dziale Gospodarka komunalna i ochrona środowiska – średniorocznie wydatkowano tu 26,1% całości gminnych inwestycji. W wartościach kwotowych wydatki kolejnych lat były nierównomierne, ogólna ich kwota w badanym okresie zamknęła się sumą 38,8 mln zł.;</w:t>
      </w:r>
    </w:p>
    <w:p w14:paraId="25B5DB55"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drugim kierunkiem gminnych inwestycji były drogi. W dziale Transport i łączność średniorocznie wydatkowano 20,5% ogółu wydatków inwestycyjnych, w całym okresie  wydatkowano tu 29,9 mln zł.;</w:t>
      </w:r>
    </w:p>
    <w:p w14:paraId="4CAC1FB9" w14:textId="77777777" w:rsidR="008C584A" w:rsidRPr="008C584A" w:rsidRDefault="008C584A" w:rsidP="003F13DF">
      <w:pPr>
        <w:numPr>
          <w:ilvl w:val="0"/>
          <w:numId w:val="94"/>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wysokie nakłady inwestycyjne poniesiono w dziale Oświata i wychowanie, w którym łączne wydatki okresu 2014-2022 wyniosły 21,8 mln zł. Średniorocznie stanowiło to 16,5% ogółu wydatków inwestycyjnych;</w:t>
      </w:r>
    </w:p>
    <w:p w14:paraId="0249DFDE"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kolejnym kierunkiem inwestycji gminy były potrzeby działu Gospodarka mieszkaniowa, gdzie średniorocznie lokowano 17,8% wydatków inwestycyjnych gminy. W całym okresie wydatkowano tu 21,6 mln zł.;</w:t>
      </w:r>
    </w:p>
    <w:p w14:paraId="671DEB16"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 dziale </w:t>
      </w:r>
      <w:r w:rsidRPr="008C584A">
        <w:rPr>
          <w:rFonts w:ascii="Times New Roman" w:eastAsia="Times New Roman" w:hAnsi="Times New Roman" w:cs="Times New Roman"/>
          <w:color w:val="000000"/>
          <w:sz w:val="24"/>
          <w:szCs w:val="24"/>
          <w:lang w:eastAsia="pl-PL"/>
        </w:rPr>
        <w:t>Rolnictwo i łowiectwo zainwestowano 5,9% wydatków inwestycyjnych gmin, co dało łącznie kwotę 16,0 mln zł.;</w:t>
      </w:r>
    </w:p>
    <w:p w14:paraId="01D0A7FB"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potrzeby inwestycyjne w zakresie kultury fizycznej i sportu zrealizowano w latach 2014-2022 w kwocie 7,9 mln zł. Stanowiło to 5,9% ogółu wydatków inwestycyjnych gminy;</w:t>
      </w:r>
    </w:p>
    <w:p w14:paraId="3CC8EB67" w14:textId="77777777" w:rsidR="008C584A" w:rsidRPr="008C584A" w:rsidRDefault="008C584A" w:rsidP="003F13DF">
      <w:pPr>
        <w:numPr>
          <w:ilvl w:val="0"/>
          <w:numId w:val="94"/>
        </w:numPr>
        <w:spacing w:after="0" w:line="276" w:lineRule="auto"/>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inwestycje w dziale Bezpieczeństwo publiczne zrealizowano w kwocie 4,2 mln zł., Wartość ta obejmowała 3,4% ogółu wydatków inwestycyjnych gminy Góra Kalwaria; </w:t>
      </w:r>
    </w:p>
    <w:p w14:paraId="02FB9023"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inwestycje realizowano także w zakresie Administracji publicznej – ich wartość w całym badanym okresie wyniosła 3,3 mln zł. (2,1% całości inwestycji);</w:t>
      </w:r>
    </w:p>
    <w:p w14:paraId="07D53E4C"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wydatki inwestycyjne działu Kultura i ochrona dziedzictwa narodowego wyniosły łącznie 1,7 mln zł, co stanowiło 1,3% całości wydatków inwestycyjnych;</w:t>
      </w:r>
    </w:p>
    <w:p w14:paraId="1AC3AA34" w14:textId="77777777" w:rsidR="008C584A" w:rsidRPr="008C584A" w:rsidRDefault="008C584A" w:rsidP="003F13DF">
      <w:pPr>
        <w:numPr>
          <w:ilvl w:val="0"/>
          <w:numId w:val="94"/>
        </w:numPr>
        <w:spacing w:after="0" w:line="276" w:lineRule="auto"/>
        <w:ind w:left="357" w:hanging="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wydatki inwestycje realizowano także w zakresie Ochrona zdrowia – ich wartość w całym badanym okresie wyniosła 1,3 mln zł., czyli 1,0 % całości inwestycji gminy; </w:t>
      </w:r>
    </w:p>
    <w:p w14:paraId="5F654706" w14:textId="77777777" w:rsidR="008C584A" w:rsidRPr="008C584A" w:rsidRDefault="008C584A" w:rsidP="003F13DF">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lastRenderedPageBreak/>
        <w:t xml:space="preserve">Realizacja dużych projektów inwestycyjnych przyczynia się do wzrostu lokalnej bazy ekonomicznej i podwyższania konkurencyjności gminy. W ich następstwie powstają nowe miejsca pracy, zazwyczaj ma też miejsce rozwój budownictwa mieszkaniowego. W dłuższym okresie ponoszone na takie cele nakłady, przy racjonalnie prowadzonej przez władze lokalne polityce fiskalnej, skutkują zwiększeniem dochodów budżetowych. Takich następstw należy spodziewać się także w przyszłości w gminie Góra Kalwaria. </w:t>
      </w:r>
    </w:p>
    <w:p w14:paraId="4B62A056" w14:textId="77777777" w:rsidR="008C584A" w:rsidRPr="008C584A" w:rsidRDefault="008C584A" w:rsidP="00926698">
      <w:pPr>
        <w:keepNext/>
        <w:spacing w:before="240" w:after="60" w:line="240" w:lineRule="auto"/>
        <w:outlineLvl w:val="2"/>
        <w:rPr>
          <w:rFonts w:ascii="Times New Roman" w:eastAsia="Times New Roman" w:hAnsi="Times New Roman" w:cs="Times New Roman"/>
          <w:b/>
          <w:bCs/>
          <w:sz w:val="24"/>
          <w:szCs w:val="24"/>
          <w:lang w:eastAsia="pl-PL"/>
        </w:rPr>
      </w:pPr>
      <w:bookmarkStart w:id="60" w:name="_Toc526974463"/>
      <w:r w:rsidRPr="008C584A">
        <w:rPr>
          <w:rFonts w:ascii="Times New Roman" w:eastAsia="Times New Roman" w:hAnsi="Times New Roman" w:cs="Times New Roman"/>
          <w:b/>
          <w:bCs/>
          <w:sz w:val="24"/>
          <w:szCs w:val="24"/>
          <w:lang w:eastAsia="pl-PL"/>
        </w:rPr>
        <w:t>Wynik finansowy i zadłużenie gminy Góra Kalwaria</w:t>
      </w:r>
      <w:bookmarkEnd w:id="60"/>
    </w:p>
    <w:p w14:paraId="21ADDBA9" w14:textId="77777777" w:rsidR="008C584A" w:rsidRPr="008C584A" w:rsidRDefault="008C584A" w:rsidP="008C584A">
      <w:pPr>
        <w:spacing w:after="0" w:line="240" w:lineRule="auto"/>
        <w:rPr>
          <w:rFonts w:ascii="Times New Roman" w:eastAsia="Times New Roman" w:hAnsi="Times New Roman" w:cs="Times New Roman"/>
          <w:i/>
          <w:iCs/>
          <w:sz w:val="20"/>
          <w:szCs w:val="20"/>
          <w:lang w:eastAsia="pl-PL"/>
        </w:rPr>
      </w:pPr>
    </w:p>
    <w:p w14:paraId="25D0A2C3" w14:textId="0ABA9F60" w:rsidR="008C584A" w:rsidRPr="008C584A" w:rsidRDefault="008C584A" w:rsidP="003F13DF">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Na ry</w:t>
      </w:r>
      <w:r w:rsidR="001F5B8B">
        <w:rPr>
          <w:rFonts w:ascii="Times New Roman" w:eastAsia="Times New Roman" w:hAnsi="Times New Roman" w:cs="Times New Roman"/>
          <w:sz w:val="24"/>
          <w:szCs w:val="24"/>
          <w:lang w:eastAsia="pl-PL"/>
        </w:rPr>
        <w:t>c.</w:t>
      </w:r>
      <w:r w:rsidRPr="008C584A">
        <w:rPr>
          <w:rFonts w:ascii="Times New Roman" w:eastAsia="Times New Roman" w:hAnsi="Times New Roman" w:cs="Times New Roman"/>
          <w:sz w:val="24"/>
          <w:szCs w:val="24"/>
          <w:lang w:eastAsia="pl-PL"/>
        </w:rPr>
        <w:t xml:space="preserve"> </w:t>
      </w:r>
      <w:r w:rsidR="001F5B8B">
        <w:rPr>
          <w:rFonts w:ascii="Times New Roman" w:eastAsia="Times New Roman" w:hAnsi="Times New Roman" w:cs="Times New Roman"/>
          <w:sz w:val="24"/>
          <w:szCs w:val="24"/>
          <w:lang w:eastAsia="pl-PL"/>
        </w:rPr>
        <w:t>14</w:t>
      </w:r>
      <w:r w:rsidRPr="008C584A">
        <w:rPr>
          <w:rFonts w:ascii="Times New Roman" w:eastAsia="Times New Roman" w:hAnsi="Times New Roman" w:cs="Times New Roman"/>
          <w:sz w:val="24"/>
          <w:szCs w:val="24"/>
          <w:lang w:eastAsia="pl-PL"/>
        </w:rPr>
        <w:t xml:space="preserve"> przedstawiono wielkość wydatków budżetowych na tle dochodów gminy </w:t>
      </w:r>
      <w:r w:rsidRPr="008C584A">
        <w:rPr>
          <w:rFonts w:ascii="Times New Roman" w:eastAsia="Times New Roman" w:hAnsi="Times New Roman" w:cs="Times New Roman"/>
          <w:sz w:val="24"/>
          <w:szCs w:val="24"/>
          <w:lang w:eastAsia="pl-PL"/>
        </w:rPr>
        <w:br/>
        <w:t xml:space="preserve">w latach 2014-2022. W gospodarce finansowej Góra Kalwaria w następujących latach notowano deficyt budżetowy: 2016 (-2,4 mln zł), 2018 (-4,6 mln zł) oraz w planie 2022 r. (-28,3 mln zł). Nadwyżka budżetowa wystąpiła w następujących latach: 2014 (0,98 mln zł), 2015 (9,6 mln zł), 2017 (1,5 mln zł), 2019 (3,1 mln zł), 2020 (2,3 mln zł) oraz 2021 (10,2 mln zł). </w:t>
      </w:r>
    </w:p>
    <w:p w14:paraId="5000C770" w14:textId="77777777" w:rsidR="008C584A" w:rsidRPr="008C584A" w:rsidRDefault="008C584A" w:rsidP="003F13DF">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W żadnym roku zanotowany poziom deficytu budżetowego nie stanowił zagrożenia utraty płynności finansowej gminy. Władze gminy prowadziły w tym zakresie racjonalna politykę finansową.</w:t>
      </w:r>
    </w:p>
    <w:p w14:paraId="48F00128" w14:textId="77777777" w:rsidR="008C584A" w:rsidRPr="008C584A" w:rsidRDefault="008C584A" w:rsidP="003F13DF">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Występowanie deficytu budżetowego, będącego wynikiem rozszerzonego zakresu finansowania wydatków inwestycyjnych jest zjawiskiem pozytywnym. </w:t>
      </w:r>
      <w:bookmarkStart w:id="61" w:name="_Toc486014710"/>
      <w:r w:rsidRPr="008C584A">
        <w:rPr>
          <w:rFonts w:ascii="Times New Roman" w:eastAsia="Times New Roman" w:hAnsi="Times New Roman" w:cs="Times New Roman"/>
          <w:sz w:val="24"/>
          <w:szCs w:val="24"/>
          <w:lang w:eastAsia="pl-PL"/>
        </w:rPr>
        <w:t>Zawsze jednak należy kontrolować jego poziom, zarówno z punktu widzenia wymogów prawa, jak i uwarunkowań ekonomicznych. Jest to jedno z najważniejszych zadań dla władz gminy przy kształtowaniu przyszłych przepływów finansowych.</w:t>
      </w:r>
      <w:r w:rsidRPr="008C584A">
        <w:rPr>
          <w:rFonts w:ascii="Times New Roman" w:eastAsia="Times New Roman" w:hAnsi="Times New Roman" w:cs="Times New Roman"/>
          <w:sz w:val="24"/>
          <w:szCs w:val="24"/>
          <w:lang w:eastAsia="pl-PL"/>
        </w:rPr>
        <w:tab/>
      </w:r>
    </w:p>
    <w:p w14:paraId="1AD8D36B" w14:textId="77777777" w:rsidR="003F13DF" w:rsidRDefault="003F13DF" w:rsidP="008C584A">
      <w:pPr>
        <w:tabs>
          <w:tab w:val="left" w:pos="0"/>
          <w:tab w:val="left" w:pos="1440"/>
        </w:tabs>
        <w:spacing w:after="0" w:line="240" w:lineRule="auto"/>
        <w:jc w:val="both"/>
        <w:rPr>
          <w:rFonts w:ascii="Times New Roman" w:eastAsia="Times New Roman" w:hAnsi="Times New Roman" w:cs="Times New Roman"/>
          <w:sz w:val="24"/>
          <w:szCs w:val="20"/>
          <w:lang w:eastAsia="pl-PL"/>
        </w:rPr>
      </w:pPr>
      <w:bookmarkStart w:id="62" w:name="_Hlk119637008"/>
    </w:p>
    <w:p w14:paraId="3A6943D5" w14:textId="1EA42980" w:rsidR="008C584A" w:rsidRPr="008C584A" w:rsidRDefault="008C584A" w:rsidP="008C584A">
      <w:pPr>
        <w:tabs>
          <w:tab w:val="left" w:pos="0"/>
          <w:tab w:val="left" w:pos="1440"/>
        </w:tabs>
        <w:spacing w:after="0" w:line="240"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Ry</w:t>
      </w:r>
      <w:r w:rsidR="001F5B8B">
        <w:rPr>
          <w:rFonts w:ascii="Times New Roman" w:eastAsia="Times New Roman" w:hAnsi="Times New Roman" w:cs="Times New Roman"/>
          <w:sz w:val="24"/>
          <w:szCs w:val="20"/>
          <w:lang w:eastAsia="pl-PL"/>
        </w:rPr>
        <w:t xml:space="preserve">c. </w:t>
      </w:r>
      <w:r w:rsidRPr="008C584A">
        <w:rPr>
          <w:rFonts w:ascii="Times New Roman" w:eastAsia="Times New Roman" w:hAnsi="Times New Roman" w:cs="Times New Roman"/>
          <w:sz w:val="24"/>
          <w:szCs w:val="20"/>
          <w:lang w:eastAsia="pl-PL"/>
        </w:rPr>
        <w:t xml:space="preserve"> </w:t>
      </w:r>
      <w:bookmarkEnd w:id="61"/>
      <w:r w:rsidR="001F5B8B">
        <w:rPr>
          <w:rFonts w:ascii="Times New Roman" w:eastAsia="Times New Roman" w:hAnsi="Times New Roman" w:cs="Times New Roman"/>
          <w:sz w:val="24"/>
          <w:szCs w:val="20"/>
          <w:lang w:eastAsia="pl-PL"/>
        </w:rPr>
        <w:t>14</w:t>
      </w:r>
      <w:r w:rsidRPr="008C584A">
        <w:rPr>
          <w:rFonts w:ascii="Times New Roman" w:eastAsia="Times New Roman" w:hAnsi="Times New Roman" w:cs="Times New Roman"/>
          <w:sz w:val="24"/>
          <w:szCs w:val="20"/>
          <w:lang w:eastAsia="pl-PL"/>
        </w:rPr>
        <w:t xml:space="preserve"> Wynik finansowy gminy Góra Kalwaria w latach 2014-2022 w zł.</w:t>
      </w:r>
    </w:p>
    <w:bookmarkEnd w:id="62"/>
    <w:p w14:paraId="735C1639" w14:textId="77777777" w:rsidR="008C584A" w:rsidRPr="008C584A" w:rsidRDefault="008C584A" w:rsidP="008C584A">
      <w:pPr>
        <w:tabs>
          <w:tab w:val="left" w:pos="0"/>
          <w:tab w:val="left" w:pos="1440"/>
        </w:tabs>
        <w:spacing w:after="0" w:line="240" w:lineRule="auto"/>
        <w:jc w:val="both"/>
        <w:rPr>
          <w:rFonts w:ascii="Times New Roman" w:eastAsia="Times New Roman" w:hAnsi="Times New Roman" w:cs="Times New Roman"/>
          <w:i/>
          <w:iCs/>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67ADC824" wp14:editId="10E40198">
            <wp:extent cx="5978525" cy="2905125"/>
            <wp:effectExtent l="0" t="0" r="3175" b="9525"/>
            <wp:docPr id="22" name="Wykres 22">
              <a:extLst xmlns:a="http://schemas.openxmlformats.org/drawingml/2006/main">
                <a:ext uri="{FF2B5EF4-FFF2-40B4-BE49-F238E27FC236}">
                  <a16:creationId xmlns:a16="http://schemas.microsoft.com/office/drawing/2014/main" id="{E4AC719D-5381-4090-A7E1-CA3D1BE61F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ECD6C5D" w14:textId="77777777" w:rsidR="008C584A" w:rsidRPr="008C584A" w:rsidRDefault="008C584A" w:rsidP="008C584A">
      <w:pPr>
        <w:tabs>
          <w:tab w:val="left" w:pos="0"/>
          <w:tab w:val="left" w:pos="1440"/>
        </w:tabs>
        <w:spacing w:after="0" w:line="240"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0"/>
          <w:szCs w:val="20"/>
          <w:lang w:eastAsia="pl-PL"/>
        </w:rPr>
        <w:t>Źródło: opracowanie własne na podstawie danych Gminy Góra Kalwaria z lat 2014-2022</w:t>
      </w:r>
    </w:p>
    <w:p w14:paraId="19C2F5BE" w14:textId="77777777" w:rsidR="008C584A" w:rsidRPr="008C584A" w:rsidRDefault="008C584A" w:rsidP="008C584A">
      <w:pPr>
        <w:tabs>
          <w:tab w:val="left" w:pos="0"/>
          <w:tab w:val="left" w:pos="4464"/>
          <w:tab w:val="left" w:pos="6048"/>
          <w:tab w:val="left" w:pos="9072"/>
        </w:tabs>
        <w:spacing w:before="120" w:after="0" w:line="240" w:lineRule="auto"/>
        <w:jc w:val="both"/>
        <w:rPr>
          <w:rFonts w:ascii="Arial Narrow" w:eastAsia="Times New Roman" w:hAnsi="Arial Narrow" w:cs="Times New Roman"/>
          <w:i/>
          <w:iCs/>
          <w:sz w:val="16"/>
          <w:szCs w:val="16"/>
          <w:lang w:eastAsia="pl-PL"/>
        </w:rPr>
      </w:pPr>
    </w:p>
    <w:p w14:paraId="675A3836" w14:textId="77777777" w:rsidR="008C584A" w:rsidRPr="008C584A" w:rsidRDefault="008C584A" w:rsidP="006B6EE8">
      <w:pPr>
        <w:tabs>
          <w:tab w:val="left" w:pos="0"/>
          <w:tab w:val="left" w:pos="4464"/>
          <w:tab w:val="left" w:pos="6048"/>
          <w:tab w:val="left" w:pos="9072"/>
        </w:tabs>
        <w:spacing w:after="0" w:line="276" w:lineRule="auto"/>
        <w:ind w:firstLine="340"/>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Mając na uwadze szeroki zakres zadań bieżących i inwestycyjnych realizowanych przez władze gminy Góra Kalwaria należy corocznie monitorować wynik finansowy budżetu, z zaleceniem przeciwdziałania generowaniu zbyt dużych różnic pomiędzy planowanym poziomem dochodów i wydatków.</w:t>
      </w:r>
    </w:p>
    <w:p w14:paraId="0B2B66AF" w14:textId="77777777" w:rsidR="008C584A" w:rsidRPr="008C584A" w:rsidRDefault="008C584A" w:rsidP="006B6EE8">
      <w:pPr>
        <w:tabs>
          <w:tab w:val="left" w:pos="0"/>
          <w:tab w:val="left" w:pos="4464"/>
          <w:tab w:val="left" w:pos="6048"/>
          <w:tab w:val="left" w:pos="9072"/>
        </w:tabs>
        <w:spacing w:after="0" w:line="276" w:lineRule="auto"/>
        <w:ind w:firstLine="340"/>
        <w:jc w:val="both"/>
        <w:rPr>
          <w:rFonts w:ascii="Times New Roman" w:eastAsia="Times New Roman" w:hAnsi="Times New Roman" w:cs="Times New Roman"/>
          <w:i/>
          <w:iCs/>
          <w:sz w:val="16"/>
          <w:szCs w:val="16"/>
          <w:lang w:eastAsia="pl-PL"/>
        </w:rPr>
      </w:pPr>
    </w:p>
    <w:p w14:paraId="1B0EECBE" w14:textId="77777777" w:rsidR="008C584A" w:rsidRPr="008C584A" w:rsidRDefault="008C584A" w:rsidP="006B6EE8">
      <w:pPr>
        <w:keepNext/>
        <w:spacing w:after="0" w:line="276" w:lineRule="auto"/>
        <w:outlineLvl w:val="2"/>
        <w:rPr>
          <w:rFonts w:ascii="Times New Roman" w:eastAsia="Times New Roman" w:hAnsi="Times New Roman" w:cs="Arial"/>
          <w:b/>
          <w:bCs/>
          <w:sz w:val="24"/>
          <w:szCs w:val="24"/>
          <w:lang w:eastAsia="pl-PL"/>
        </w:rPr>
      </w:pPr>
      <w:r w:rsidRPr="008C584A">
        <w:rPr>
          <w:rFonts w:ascii="Times New Roman" w:eastAsia="Times New Roman" w:hAnsi="Times New Roman" w:cs="Arial"/>
          <w:b/>
          <w:bCs/>
          <w:sz w:val="24"/>
          <w:szCs w:val="24"/>
          <w:lang w:eastAsia="pl-PL"/>
        </w:rPr>
        <w:t xml:space="preserve"> </w:t>
      </w:r>
      <w:bookmarkStart w:id="63" w:name="_Toc526974465"/>
      <w:r w:rsidRPr="008C584A">
        <w:rPr>
          <w:rFonts w:ascii="Times New Roman" w:eastAsia="Times New Roman" w:hAnsi="Times New Roman" w:cs="Arial"/>
          <w:b/>
          <w:bCs/>
          <w:sz w:val="24"/>
          <w:szCs w:val="24"/>
          <w:lang w:eastAsia="pl-PL"/>
        </w:rPr>
        <w:t xml:space="preserve">Zadłużenie gminy Góra Kalwaria </w:t>
      </w:r>
      <w:bookmarkEnd w:id="63"/>
    </w:p>
    <w:p w14:paraId="269CEC19" w14:textId="77777777" w:rsidR="008C584A" w:rsidRPr="008C584A" w:rsidRDefault="008C584A" w:rsidP="006B6EE8">
      <w:pPr>
        <w:tabs>
          <w:tab w:val="left" w:pos="0"/>
          <w:tab w:val="left" w:pos="1296"/>
        </w:tabs>
        <w:spacing w:after="0" w:line="276" w:lineRule="auto"/>
        <w:jc w:val="both"/>
        <w:rPr>
          <w:rFonts w:ascii="Times New Roman" w:eastAsia="Times New Roman" w:hAnsi="Times New Roman" w:cs="Times New Roman"/>
          <w:i/>
          <w:iCs/>
          <w:sz w:val="16"/>
          <w:szCs w:val="16"/>
          <w:lang w:eastAsia="pl-PL"/>
        </w:rPr>
      </w:pPr>
    </w:p>
    <w:p w14:paraId="6D1A41F6"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Zobowiązania gminy na dzień 26.10.2022 r. wyniosły 33,84 mln zł. Należy zwrócić uwagę na fakt, że zadłużenie gminy jest skorelowane z wielkością wydatków inwestycyjnych. Wynika to z realizacji rozszerzonego w stosunku do własnych możliwości budżetowych, zakresu zadań inwestycyjnych, w tym współfinansowanych dotacjami unijnymi. </w:t>
      </w:r>
    </w:p>
    <w:p w14:paraId="23617421"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Przeprowadzone prognozy wykazują, że w przyszłości gmina utrzymuje zdolność do zaciągania nowych zobowiązań dłużnych. W przypadku zaciągania długu należy rozważyć wykorzystanie instrumentów dłużnych stosownie do potencjału finansowego gminy kolejnych lat, racjonalnie  kształtując transze zadłużenia i terminy spłat</w:t>
      </w:r>
    </w:p>
    <w:p w14:paraId="6CB0CFE8" w14:textId="77777777" w:rsidR="008C584A" w:rsidRPr="008C584A" w:rsidRDefault="008C584A" w:rsidP="006B6EE8">
      <w:pPr>
        <w:spacing w:after="0" w:line="276" w:lineRule="auto"/>
        <w:ind w:firstLine="357"/>
        <w:jc w:val="both"/>
        <w:rPr>
          <w:rFonts w:ascii="Times New Roman" w:eastAsia="Times New Roman" w:hAnsi="Times New Roman" w:cs="Times New Roman"/>
          <w:bCs/>
          <w:sz w:val="24"/>
          <w:szCs w:val="24"/>
          <w:lang w:eastAsia="pl-PL"/>
        </w:rPr>
      </w:pPr>
      <w:r w:rsidRPr="008C584A">
        <w:rPr>
          <w:rFonts w:ascii="Times New Roman" w:eastAsia="Times New Roman" w:hAnsi="Times New Roman" w:cs="Times New Roman"/>
          <w:bCs/>
          <w:sz w:val="24"/>
          <w:szCs w:val="24"/>
          <w:lang w:eastAsia="pl-PL"/>
        </w:rPr>
        <w:t xml:space="preserve">Indywidualny wskaźnik zadłużenia zachowuje w całym okresie bezpieczne wartości </w:t>
      </w:r>
      <w:r w:rsidRPr="008C584A">
        <w:rPr>
          <w:rFonts w:ascii="Times New Roman" w:eastAsia="Times New Roman" w:hAnsi="Times New Roman" w:cs="Times New Roman"/>
          <w:bCs/>
          <w:sz w:val="24"/>
          <w:szCs w:val="24"/>
          <w:lang w:eastAsia="pl-PL"/>
        </w:rPr>
        <w:br/>
        <w:t xml:space="preserve">w stosunku do wymogów prawnych wyznaczonych ustawą o finansach publicznych. </w:t>
      </w:r>
    </w:p>
    <w:p w14:paraId="5624E0C7" w14:textId="77777777" w:rsidR="008C584A" w:rsidRPr="008C584A" w:rsidRDefault="008C584A" w:rsidP="006B6EE8">
      <w:pPr>
        <w:spacing w:after="0" w:line="276" w:lineRule="auto"/>
        <w:ind w:firstLine="357"/>
        <w:jc w:val="both"/>
        <w:rPr>
          <w:rFonts w:ascii="Times New Roman" w:eastAsia="Times New Roman" w:hAnsi="Times New Roman" w:cs="Times New Roman"/>
          <w:color w:val="000000"/>
          <w:sz w:val="24"/>
          <w:szCs w:val="24"/>
          <w:lang w:eastAsia="pl-PL"/>
        </w:rPr>
      </w:pPr>
      <w:r w:rsidRPr="008C584A">
        <w:rPr>
          <w:rFonts w:ascii="Times New Roman" w:eastAsia="Times New Roman" w:hAnsi="Times New Roman" w:cs="Times New Roman"/>
          <w:bCs/>
          <w:sz w:val="24"/>
          <w:szCs w:val="24"/>
          <w:lang w:eastAsia="pl-PL"/>
        </w:rPr>
        <w:t xml:space="preserve">Prognozy wykazują, ze w całym analizowanym i prognozowanym okresie gmina Góra Kalwaria wypełnia dwie podstawowe reguły fiskalne, tj. zgodność nadwyżki operacyjnej oraz nowego wskaźnika zadłużenia. </w:t>
      </w:r>
    </w:p>
    <w:p w14:paraId="5FD028E7" w14:textId="77777777" w:rsidR="008C584A" w:rsidRPr="008C584A" w:rsidRDefault="008C584A" w:rsidP="006B6EE8">
      <w:pPr>
        <w:keepNext/>
        <w:tabs>
          <w:tab w:val="left" w:pos="0"/>
        </w:tabs>
        <w:spacing w:before="240" w:after="60" w:line="276" w:lineRule="auto"/>
        <w:outlineLvl w:val="0"/>
        <w:rPr>
          <w:rFonts w:ascii="Times New Roman" w:eastAsia="Times New Roman" w:hAnsi="Times New Roman" w:cs="Times New Roman"/>
          <w:b/>
          <w:kern w:val="28"/>
          <w:sz w:val="24"/>
          <w:szCs w:val="20"/>
          <w:lang w:eastAsia="pl-PL"/>
        </w:rPr>
      </w:pPr>
      <w:bookmarkStart w:id="64" w:name="_Toc526974466"/>
      <w:r w:rsidRPr="008C584A">
        <w:rPr>
          <w:rFonts w:ascii="Times New Roman" w:eastAsia="Times New Roman" w:hAnsi="Times New Roman" w:cs="Times New Roman"/>
          <w:b/>
          <w:kern w:val="28"/>
          <w:sz w:val="24"/>
          <w:szCs w:val="20"/>
          <w:lang w:eastAsia="pl-PL"/>
        </w:rPr>
        <w:t>WIELOLETNIA PROGNOZY FINANSOWA</w:t>
      </w:r>
      <w:bookmarkEnd w:id="64"/>
      <w:r w:rsidRPr="008C584A">
        <w:rPr>
          <w:rFonts w:ascii="Times New Roman" w:eastAsia="Times New Roman" w:hAnsi="Times New Roman" w:cs="Times New Roman"/>
          <w:b/>
          <w:kern w:val="28"/>
          <w:sz w:val="24"/>
          <w:szCs w:val="20"/>
          <w:lang w:eastAsia="pl-PL"/>
        </w:rPr>
        <w:t xml:space="preserve"> GMINY GÓRA KALWARIA</w:t>
      </w:r>
    </w:p>
    <w:p w14:paraId="4FBE145D" w14:textId="77777777" w:rsidR="008C584A" w:rsidRPr="008C584A" w:rsidRDefault="008C584A" w:rsidP="006B6EE8">
      <w:pPr>
        <w:tabs>
          <w:tab w:val="left" w:pos="0"/>
          <w:tab w:val="left" w:pos="3312"/>
        </w:tabs>
        <w:spacing w:after="0" w:line="276" w:lineRule="auto"/>
        <w:jc w:val="both"/>
        <w:rPr>
          <w:rFonts w:ascii="Times New Roman" w:eastAsia="Times New Roman" w:hAnsi="Times New Roman" w:cs="Times New Roman"/>
          <w:i/>
          <w:iCs/>
          <w:sz w:val="16"/>
          <w:szCs w:val="16"/>
          <w:lang w:eastAsia="pl-PL"/>
        </w:rPr>
      </w:pPr>
    </w:p>
    <w:p w14:paraId="4A200395" w14:textId="77777777" w:rsidR="008C584A" w:rsidRPr="008C584A" w:rsidRDefault="008C584A" w:rsidP="006B6EE8">
      <w:pPr>
        <w:spacing w:after="0" w:line="276" w:lineRule="auto"/>
        <w:ind w:firstLine="720"/>
        <w:jc w:val="both"/>
        <w:rPr>
          <w:rFonts w:ascii="Times New Roman" w:eastAsia="Times New Roman" w:hAnsi="Times New Roman" w:cs="Times New Roman"/>
          <w:color w:val="000000"/>
          <w:sz w:val="24"/>
          <w:szCs w:val="24"/>
          <w:lang w:eastAsia="pl-PL"/>
        </w:rPr>
      </w:pPr>
      <w:r w:rsidRPr="008C584A">
        <w:rPr>
          <w:rFonts w:ascii="Times New Roman" w:eastAsia="Times New Roman" w:hAnsi="Times New Roman" w:cs="Times New Roman"/>
          <w:color w:val="000000"/>
          <w:sz w:val="24"/>
          <w:szCs w:val="24"/>
          <w:lang w:eastAsia="pl-PL"/>
        </w:rPr>
        <w:t>W niniejszym opracowaniu projekcje na lata 2021-2028 zostały oparte na najbardziej aktualnych wynikach finansowych, odpowiednio modyfikowanych o wskaźniki przewidywanej inflacji, wzrostu gospodarczego czy też inne, definiowane indywidualnie dla poszczególnych kategorii. Za wielkości bazowe obrano kwoty wynikające z uchwały budżetowej na 2022 rok oraz wieloletniej prognozy finansowej gminy (stan po zmianach na dzień 26.10.2022 r).</w:t>
      </w:r>
    </w:p>
    <w:p w14:paraId="49365620"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W kolejnych latach prognozy wartości wydatków przyjęto na poziomie, który na koniec każdego roku pozwala uzyskać dodatni skumulowany stan gotówki. Zapewnia to zachowanie równowagi finansowej oraz długookresowej płynności finansowej. </w:t>
      </w:r>
    </w:p>
    <w:p w14:paraId="4492F226"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Według przeprowadzonych szacunków własny potencjał inwestycyjny kolejnych lat wyniesie: </w:t>
      </w:r>
    </w:p>
    <w:p w14:paraId="5460848E" w14:textId="32286785"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2022</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27,22 mln zł,;</w:t>
      </w:r>
    </w:p>
    <w:p w14:paraId="15CA12E1" w14:textId="53182C90"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2023</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23,80 mln zł,</w:t>
      </w:r>
    </w:p>
    <w:p w14:paraId="04430CAC" w14:textId="61726295"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2024</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25,31 mln zł;</w:t>
      </w:r>
    </w:p>
    <w:p w14:paraId="1B49C82D" w14:textId="7C3CD8E6"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2025</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18,36 mln zł.;</w:t>
      </w:r>
    </w:p>
    <w:p w14:paraId="789127D5" w14:textId="4559E98A"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2026</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18,30 mln zł.;</w:t>
      </w:r>
    </w:p>
    <w:p w14:paraId="73B20D23" w14:textId="256121E2"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2027</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22,08 mln zł.;</w:t>
      </w:r>
    </w:p>
    <w:p w14:paraId="10AEF42D" w14:textId="1A5DB146"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2028</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23,54 mln zł;</w:t>
      </w:r>
    </w:p>
    <w:p w14:paraId="22DA0A96" w14:textId="17667990"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2029</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21,60 mln zł;</w:t>
      </w:r>
    </w:p>
    <w:p w14:paraId="21D4E4BA" w14:textId="51524674"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2030</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22,70 mln zł;</w:t>
      </w:r>
    </w:p>
    <w:p w14:paraId="7F576AF0" w14:textId="5C65B25F" w:rsidR="008C584A" w:rsidRPr="008C584A" w:rsidRDefault="008C584A" w:rsidP="006B6EE8">
      <w:pPr>
        <w:numPr>
          <w:ilvl w:val="0"/>
          <w:numId w:val="95"/>
        </w:num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w 2031</w:t>
      </w:r>
      <w:r w:rsidR="00A17EB1">
        <w:rPr>
          <w:rFonts w:ascii="Times New Roman" w:eastAsia="Times New Roman" w:hAnsi="Times New Roman" w:cs="Times New Roman"/>
          <w:sz w:val="24"/>
          <w:szCs w:val="20"/>
          <w:lang w:eastAsia="pl-PL"/>
        </w:rPr>
        <w:t xml:space="preserve"> </w:t>
      </w:r>
      <w:r w:rsidRPr="008C584A">
        <w:rPr>
          <w:rFonts w:ascii="Times New Roman" w:eastAsia="Times New Roman" w:hAnsi="Times New Roman" w:cs="Times New Roman"/>
          <w:sz w:val="24"/>
          <w:szCs w:val="20"/>
          <w:lang w:eastAsia="pl-PL"/>
        </w:rPr>
        <w:t>r. -  20,02 mln zł.</w:t>
      </w:r>
    </w:p>
    <w:p w14:paraId="57AE824E" w14:textId="77777777" w:rsidR="008C584A" w:rsidRPr="008C584A" w:rsidRDefault="008C584A" w:rsidP="006B6EE8">
      <w:pPr>
        <w:spacing w:after="0" w:line="276" w:lineRule="auto"/>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 xml:space="preserve">Dla realizacji tego scenariusza niezbędne będzie zaciągniecie długu w wysokości 10,2 mln zł w 2022 roku. </w:t>
      </w:r>
    </w:p>
    <w:p w14:paraId="5CC9D3C2"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Przeprowadzone analizy finansowe wykazują niewielki spadek własnego potencjału inwestycyjnego w latach 2023-2026. Wynika to z realizacji szerokiego zakresu zadań rozwojowych - w wartościach wykraczających ponad własny potencjał finansowy gminy.</w:t>
      </w:r>
      <w:r w:rsidRPr="008C584A">
        <w:rPr>
          <w:rFonts w:ascii="Times New Roman" w:eastAsia="Times New Roman" w:hAnsi="Times New Roman" w:cs="Times New Roman"/>
          <w:i/>
          <w:iCs/>
          <w:sz w:val="24"/>
          <w:szCs w:val="20"/>
          <w:lang w:eastAsia="pl-PL"/>
        </w:rPr>
        <w:t xml:space="preserve"> </w:t>
      </w:r>
      <w:r w:rsidRPr="008C584A">
        <w:rPr>
          <w:rFonts w:ascii="Times New Roman" w:eastAsia="Times New Roman" w:hAnsi="Times New Roman" w:cs="Times New Roman"/>
          <w:sz w:val="24"/>
          <w:szCs w:val="20"/>
          <w:lang w:eastAsia="pl-PL"/>
        </w:rPr>
        <w:lastRenderedPageBreak/>
        <w:t xml:space="preserve">Źródłem ich finansowania były środki dłużne. Konsekwencjach spłaty jest  w kolejnych latach obniżenie własnego potencjału inwestycyjnego gminy. Nadal jednak potencjał rozwojowy przy przyjęciu założeń konstrukcji budżetu określonych w tym Scenariuszu pozostaje wysoki. </w:t>
      </w:r>
    </w:p>
    <w:p w14:paraId="45CDA91F" w14:textId="76019B6B" w:rsidR="008C584A" w:rsidRDefault="008C584A" w:rsidP="006B6EE8">
      <w:pPr>
        <w:spacing w:after="0" w:line="276" w:lineRule="auto"/>
        <w:ind w:firstLine="708"/>
        <w:jc w:val="both"/>
        <w:rPr>
          <w:rFonts w:ascii="Times New Roman" w:eastAsia="Times New Roman" w:hAnsi="Times New Roman" w:cs="Times New Roman"/>
          <w:sz w:val="24"/>
          <w:szCs w:val="20"/>
          <w:lang w:eastAsia="pl-PL"/>
        </w:rPr>
      </w:pPr>
      <w:r w:rsidRPr="008C584A">
        <w:rPr>
          <w:rFonts w:ascii="Times New Roman" w:eastAsia="Times New Roman" w:hAnsi="Times New Roman" w:cs="Times New Roman"/>
          <w:sz w:val="24"/>
          <w:szCs w:val="20"/>
          <w:lang w:eastAsia="pl-PL"/>
        </w:rPr>
        <w:t>Prognozę sporządzono przy założeniu, że skumulowany stan gotówki w okresie objętym prognozą pozostaje dodatni, co zapewnia utrzymanie równowagi budżetowej. Szczegóły przepływów przedstawiono w poniższym zestawieniu:</w:t>
      </w:r>
    </w:p>
    <w:p w14:paraId="36B43D06" w14:textId="77777777" w:rsidR="003F13DF" w:rsidRPr="008C584A" w:rsidRDefault="003F13DF" w:rsidP="006B6EE8">
      <w:pPr>
        <w:spacing w:after="0" w:line="276" w:lineRule="auto"/>
        <w:ind w:firstLine="708"/>
        <w:jc w:val="both"/>
        <w:rPr>
          <w:rFonts w:ascii="Times New Roman" w:eastAsia="Times New Roman" w:hAnsi="Times New Roman" w:cs="Times New Roman"/>
          <w:sz w:val="24"/>
          <w:szCs w:val="20"/>
          <w:lang w:eastAsia="pl-PL"/>
        </w:rPr>
      </w:pPr>
    </w:p>
    <w:tbl>
      <w:tblPr>
        <w:tblW w:w="7172"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05"/>
        <w:gridCol w:w="1207"/>
        <w:gridCol w:w="1040"/>
        <w:gridCol w:w="1040"/>
        <w:gridCol w:w="1040"/>
        <w:gridCol w:w="1040"/>
      </w:tblGrid>
      <w:tr w:rsidR="008C584A" w:rsidRPr="008C584A" w14:paraId="7894D2AC" w14:textId="77777777" w:rsidTr="005155C7">
        <w:trPr>
          <w:trHeight w:val="225"/>
        </w:trPr>
        <w:tc>
          <w:tcPr>
            <w:tcW w:w="1805" w:type="dxa"/>
            <w:shd w:val="clear" w:color="auto" w:fill="D9E2F3" w:themeFill="accent1" w:themeFillTint="33"/>
            <w:noWrap/>
            <w:vAlign w:val="bottom"/>
          </w:tcPr>
          <w:p w14:paraId="7DDDD676" w14:textId="77777777" w:rsidR="008C584A" w:rsidRPr="008C584A" w:rsidRDefault="008C584A" w:rsidP="008C584A">
            <w:pPr>
              <w:spacing w:after="0" w:line="240" w:lineRule="auto"/>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Wyszczególnienie </w:t>
            </w:r>
          </w:p>
        </w:tc>
        <w:tc>
          <w:tcPr>
            <w:tcW w:w="1207" w:type="dxa"/>
            <w:shd w:val="clear" w:color="auto" w:fill="D9E2F3" w:themeFill="accent1" w:themeFillTint="33"/>
            <w:noWrap/>
          </w:tcPr>
          <w:p w14:paraId="427962A8"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2022</w:t>
            </w:r>
          </w:p>
        </w:tc>
        <w:tc>
          <w:tcPr>
            <w:tcW w:w="1040" w:type="dxa"/>
            <w:shd w:val="clear" w:color="auto" w:fill="D9E2F3" w:themeFill="accent1" w:themeFillTint="33"/>
            <w:noWrap/>
          </w:tcPr>
          <w:p w14:paraId="45CA8F30"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2023</w:t>
            </w:r>
          </w:p>
        </w:tc>
        <w:tc>
          <w:tcPr>
            <w:tcW w:w="1040" w:type="dxa"/>
            <w:shd w:val="clear" w:color="auto" w:fill="D9E2F3" w:themeFill="accent1" w:themeFillTint="33"/>
            <w:noWrap/>
            <w:vAlign w:val="bottom"/>
          </w:tcPr>
          <w:p w14:paraId="06E3FB35"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2024</w:t>
            </w:r>
          </w:p>
        </w:tc>
        <w:tc>
          <w:tcPr>
            <w:tcW w:w="1040" w:type="dxa"/>
            <w:shd w:val="clear" w:color="auto" w:fill="D9E2F3" w:themeFill="accent1" w:themeFillTint="33"/>
            <w:vAlign w:val="bottom"/>
          </w:tcPr>
          <w:p w14:paraId="7328E0C4"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2025</w:t>
            </w:r>
          </w:p>
        </w:tc>
        <w:tc>
          <w:tcPr>
            <w:tcW w:w="1040" w:type="dxa"/>
            <w:shd w:val="clear" w:color="auto" w:fill="D9E2F3" w:themeFill="accent1" w:themeFillTint="33"/>
            <w:vAlign w:val="bottom"/>
          </w:tcPr>
          <w:p w14:paraId="0243A81B"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2026</w:t>
            </w:r>
          </w:p>
        </w:tc>
      </w:tr>
      <w:tr w:rsidR="008C584A" w:rsidRPr="008C584A" w14:paraId="22BD1F90" w14:textId="77777777" w:rsidTr="00547343">
        <w:trPr>
          <w:trHeight w:val="210"/>
        </w:trPr>
        <w:tc>
          <w:tcPr>
            <w:tcW w:w="1805" w:type="dxa"/>
            <w:tcBorders>
              <w:bottom w:val="single" w:sz="4" w:space="0" w:color="auto"/>
            </w:tcBorders>
            <w:shd w:val="clear" w:color="auto" w:fill="FFFFFF"/>
            <w:noWrap/>
            <w:vAlign w:val="bottom"/>
          </w:tcPr>
          <w:p w14:paraId="0062F98A" w14:textId="77777777" w:rsidR="008C584A" w:rsidRPr="008C584A" w:rsidRDefault="008C584A" w:rsidP="008C584A">
            <w:pPr>
              <w:spacing w:after="0" w:line="240" w:lineRule="auto"/>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Inwestycje i inne wydatki majątkowe w mln zł</w:t>
            </w:r>
          </w:p>
        </w:tc>
        <w:tc>
          <w:tcPr>
            <w:tcW w:w="1207" w:type="dxa"/>
            <w:tcBorders>
              <w:bottom w:val="single" w:sz="4" w:space="0" w:color="auto"/>
            </w:tcBorders>
            <w:shd w:val="clear" w:color="auto" w:fill="FFFFFF"/>
            <w:noWrap/>
            <w:vAlign w:val="bottom"/>
          </w:tcPr>
          <w:p w14:paraId="700BE0A5" w14:textId="77777777" w:rsidR="008C584A" w:rsidRPr="008C584A" w:rsidRDefault="008C584A" w:rsidP="008C584A">
            <w:pPr>
              <w:spacing w:after="0" w:line="240" w:lineRule="auto"/>
              <w:jc w:val="right"/>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sz w:val="20"/>
                <w:szCs w:val="20"/>
                <w:lang w:eastAsia="pl-PL"/>
              </w:rPr>
              <w:t>37 423 606</w:t>
            </w:r>
          </w:p>
        </w:tc>
        <w:tc>
          <w:tcPr>
            <w:tcW w:w="1040" w:type="dxa"/>
            <w:tcBorders>
              <w:bottom w:val="single" w:sz="4" w:space="0" w:color="auto"/>
            </w:tcBorders>
            <w:shd w:val="clear" w:color="auto" w:fill="FFFFFF"/>
            <w:noWrap/>
            <w:vAlign w:val="bottom"/>
          </w:tcPr>
          <w:p w14:paraId="12B61F05" w14:textId="77777777" w:rsidR="008C584A" w:rsidRPr="008C584A" w:rsidRDefault="008C584A" w:rsidP="008C584A">
            <w:pPr>
              <w:spacing w:after="0" w:line="240" w:lineRule="auto"/>
              <w:jc w:val="right"/>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sz w:val="20"/>
                <w:szCs w:val="20"/>
                <w:lang w:eastAsia="pl-PL"/>
              </w:rPr>
              <w:t>23 979 906</w:t>
            </w:r>
          </w:p>
        </w:tc>
        <w:tc>
          <w:tcPr>
            <w:tcW w:w="1040" w:type="dxa"/>
            <w:tcBorders>
              <w:bottom w:val="single" w:sz="4" w:space="0" w:color="auto"/>
            </w:tcBorders>
            <w:shd w:val="clear" w:color="auto" w:fill="FFFFFF"/>
            <w:noWrap/>
            <w:vAlign w:val="bottom"/>
          </w:tcPr>
          <w:p w14:paraId="6FD0B517" w14:textId="77777777" w:rsidR="008C584A" w:rsidRPr="008C584A" w:rsidRDefault="008C584A" w:rsidP="008C584A">
            <w:pPr>
              <w:spacing w:after="0" w:line="240" w:lineRule="auto"/>
              <w:jc w:val="right"/>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sz w:val="20"/>
                <w:szCs w:val="20"/>
                <w:lang w:eastAsia="pl-PL"/>
              </w:rPr>
              <w:t>25 307 205</w:t>
            </w:r>
          </w:p>
        </w:tc>
        <w:tc>
          <w:tcPr>
            <w:tcW w:w="1040" w:type="dxa"/>
            <w:tcBorders>
              <w:bottom w:val="single" w:sz="4" w:space="0" w:color="auto"/>
            </w:tcBorders>
            <w:shd w:val="clear" w:color="auto" w:fill="FFFFFF"/>
            <w:vAlign w:val="bottom"/>
          </w:tcPr>
          <w:p w14:paraId="34C02EFD" w14:textId="77777777" w:rsidR="008C584A" w:rsidRPr="008C584A" w:rsidRDefault="008C584A" w:rsidP="008C584A">
            <w:pPr>
              <w:spacing w:after="0" w:line="240" w:lineRule="auto"/>
              <w:jc w:val="right"/>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sz w:val="20"/>
                <w:szCs w:val="20"/>
                <w:lang w:eastAsia="pl-PL"/>
              </w:rPr>
              <w:t>18 355 242</w:t>
            </w:r>
          </w:p>
        </w:tc>
        <w:tc>
          <w:tcPr>
            <w:tcW w:w="1040" w:type="dxa"/>
            <w:tcBorders>
              <w:bottom w:val="single" w:sz="4" w:space="0" w:color="auto"/>
            </w:tcBorders>
            <w:shd w:val="clear" w:color="auto" w:fill="FFFFFF"/>
            <w:vAlign w:val="bottom"/>
          </w:tcPr>
          <w:p w14:paraId="4BD76EA9" w14:textId="77777777" w:rsidR="008C584A" w:rsidRPr="008C584A" w:rsidRDefault="008C584A" w:rsidP="008C584A">
            <w:pPr>
              <w:spacing w:after="0" w:line="240" w:lineRule="auto"/>
              <w:jc w:val="right"/>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sz w:val="20"/>
                <w:szCs w:val="20"/>
                <w:lang w:eastAsia="pl-PL"/>
              </w:rPr>
              <w:t>18 298 767</w:t>
            </w:r>
          </w:p>
        </w:tc>
      </w:tr>
      <w:tr w:rsidR="008C584A" w:rsidRPr="008C584A" w14:paraId="6F7E4322" w14:textId="77777777" w:rsidTr="00547343">
        <w:trPr>
          <w:trHeight w:val="210"/>
        </w:trPr>
        <w:tc>
          <w:tcPr>
            <w:tcW w:w="1805" w:type="dxa"/>
            <w:shd w:val="clear" w:color="auto" w:fill="FFFFFF"/>
            <w:noWrap/>
            <w:vAlign w:val="bottom"/>
          </w:tcPr>
          <w:p w14:paraId="4C70ACCE" w14:textId="77777777" w:rsidR="008C584A" w:rsidRPr="008C584A" w:rsidRDefault="008C584A" w:rsidP="008C584A">
            <w:pPr>
              <w:spacing w:after="0" w:line="240" w:lineRule="auto"/>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Cs/>
                <w:color w:val="FF0000"/>
                <w:sz w:val="20"/>
                <w:szCs w:val="20"/>
                <w:lang w:eastAsia="pl-PL"/>
              </w:rPr>
              <w:t>Roczne przepływy gotówki netto w zł</w:t>
            </w:r>
          </w:p>
        </w:tc>
        <w:tc>
          <w:tcPr>
            <w:tcW w:w="1207" w:type="dxa"/>
            <w:shd w:val="clear" w:color="auto" w:fill="FFFFFF"/>
            <w:noWrap/>
            <w:vAlign w:val="bottom"/>
          </w:tcPr>
          <w:p w14:paraId="19A23E58" w14:textId="77777777" w:rsidR="008C584A" w:rsidRPr="008C584A" w:rsidRDefault="008C584A" w:rsidP="008C584A">
            <w:pPr>
              <w:spacing w:after="0" w:line="240" w:lineRule="auto"/>
              <w:jc w:val="right"/>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
                <w:bCs/>
                <w:color w:val="FF0000"/>
                <w:sz w:val="20"/>
                <w:szCs w:val="20"/>
                <w:lang w:eastAsia="pl-PL"/>
              </w:rPr>
              <w:t>-22 090 808</w:t>
            </w:r>
          </w:p>
        </w:tc>
        <w:tc>
          <w:tcPr>
            <w:tcW w:w="1040" w:type="dxa"/>
            <w:shd w:val="clear" w:color="auto" w:fill="FFFFFF"/>
            <w:noWrap/>
            <w:vAlign w:val="bottom"/>
          </w:tcPr>
          <w:p w14:paraId="003E71D7" w14:textId="77777777" w:rsidR="008C584A" w:rsidRPr="008C584A" w:rsidRDefault="008C584A" w:rsidP="008C584A">
            <w:pPr>
              <w:spacing w:after="0" w:line="240" w:lineRule="auto"/>
              <w:jc w:val="right"/>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
                <w:bCs/>
                <w:color w:val="FF0000"/>
                <w:sz w:val="20"/>
                <w:szCs w:val="20"/>
                <w:lang w:eastAsia="pl-PL"/>
              </w:rPr>
              <w:t>40 008</w:t>
            </w:r>
          </w:p>
        </w:tc>
        <w:tc>
          <w:tcPr>
            <w:tcW w:w="1040" w:type="dxa"/>
            <w:shd w:val="clear" w:color="auto" w:fill="FFFFFF"/>
            <w:noWrap/>
            <w:vAlign w:val="bottom"/>
          </w:tcPr>
          <w:p w14:paraId="76A1FD99" w14:textId="77777777" w:rsidR="008C584A" w:rsidRPr="008C584A" w:rsidRDefault="008C584A" w:rsidP="008C584A">
            <w:pPr>
              <w:spacing w:after="0" w:line="240" w:lineRule="auto"/>
              <w:jc w:val="right"/>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
                <w:bCs/>
                <w:color w:val="FF0000"/>
                <w:sz w:val="20"/>
                <w:szCs w:val="20"/>
                <w:lang w:eastAsia="pl-PL"/>
              </w:rPr>
              <w:t>-2 000 000</w:t>
            </w:r>
          </w:p>
        </w:tc>
        <w:tc>
          <w:tcPr>
            <w:tcW w:w="1040" w:type="dxa"/>
            <w:shd w:val="clear" w:color="auto" w:fill="FFFFFF"/>
            <w:vAlign w:val="bottom"/>
          </w:tcPr>
          <w:p w14:paraId="3F8AD523" w14:textId="77777777" w:rsidR="008C584A" w:rsidRPr="008C584A" w:rsidRDefault="008C584A" w:rsidP="008C584A">
            <w:pPr>
              <w:spacing w:after="0" w:line="240" w:lineRule="auto"/>
              <w:jc w:val="right"/>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
                <w:bCs/>
                <w:color w:val="FF0000"/>
                <w:sz w:val="20"/>
                <w:szCs w:val="20"/>
                <w:lang w:eastAsia="pl-PL"/>
              </w:rPr>
              <w:t>600 000</w:t>
            </w:r>
          </w:p>
        </w:tc>
        <w:tc>
          <w:tcPr>
            <w:tcW w:w="1040" w:type="dxa"/>
            <w:shd w:val="clear" w:color="auto" w:fill="FFFFFF"/>
            <w:vAlign w:val="bottom"/>
          </w:tcPr>
          <w:p w14:paraId="4C1F7FFF" w14:textId="77777777" w:rsidR="008C584A" w:rsidRPr="008C584A" w:rsidRDefault="008C584A" w:rsidP="008C584A">
            <w:pPr>
              <w:spacing w:after="0" w:line="240" w:lineRule="auto"/>
              <w:jc w:val="right"/>
              <w:rPr>
                <w:rFonts w:ascii="Times New Roman" w:eastAsia="Times New Roman" w:hAnsi="Times New Roman" w:cs="Times New Roman"/>
                <w:bCs/>
                <w:color w:val="FF0000"/>
                <w:sz w:val="20"/>
                <w:szCs w:val="20"/>
                <w:lang w:eastAsia="pl-PL"/>
              </w:rPr>
            </w:pPr>
            <w:r w:rsidRPr="008C584A">
              <w:rPr>
                <w:rFonts w:ascii="Times New Roman" w:eastAsia="Times New Roman" w:hAnsi="Times New Roman" w:cs="Times New Roman"/>
                <w:b/>
                <w:bCs/>
                <w:color w:val="FF0000"/>
                <w:sz w:val="20"/>
                <w:szCs w:val="20"/>
                <w:lang w:eastAsia="pl-PL"/>
              </w:rPr>
              <w:t>0</w:t>
            </w:r>
          </w:p>
        </w:tc>
      </w:tr>
      <w:tr w:rsidR="008C584A" w:rsidRPr="008C584A" w14:paraId="36A5E624" w14:textId="77777777" w:rsidTr="00547343">
        <w:trPr>
          <w:trHeight w:val="210"/>
        </w:trPr>
        <w:tc>
          <w:tcPr>
            <w:tcW w:w="1805" w:type="dxa"/>
            <w:tcBorders>
              <w:bottom w:val="single" w:sz="4" w:space="0" w:color="auto"/>
            </w:tcBorders>
            <w:shd w:val="clear" w:color="auto" w:fill="FFFF99"/>
            <w:noWrap/>
            <w:vAlign w:val="bottom"/>
          </w:tcPr>
          <w:p w14:paraId="59E265F6" w14:textId="77777777" w:rsidR="008C584A" w:rsidRPr="008C584A" w:rsidRDefault="008C584A" w:rsidP="008C584A">
            <w:pPr>
              <w:spacing w:after="0" w:line="240" w:lineRule="auto"/>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Wolne środki na koniec roku w zł</w:t>
            </w:r>
          </w:p>
        </w:tc>
        <w:tc>
          <w:tcPr>
            <w:tcW w:w="1207" w:type="dxa"/>
            <w:tcBorders>
              <w:bottom w:val="single" w:sz="4" w:space="0" w:color="auto"/>
            </w:tcBorders>
            <w:shd w:val="clear" w:color="auto" w:fill="FFFF99"/>
            <w:noWrap/>
            <w:vAlign w:val="bottom"/>
          </w:tcPr>
          <w:p w14:paraId="5D6E7CE3" w14:textId="77777777" w:rsidR="008C584A" w:rsidRPr="008C584A" w:rsidRDefault="008C584A" w:rsidP="008C584A">
            <w:pPr>
              <w:spacing w:after="0" w:line="240" w:lineRule="auto"/>
              <w:jc w:val="right"/>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2 325 909</w:t>
            </w:r>
          </w:p>
        </w:tc>
        <w:tc>
          <w:tcPr>
            <w:tcW w:w="1040" w:type="dxa"/>
            <w:tcBorders>
              <w:bottom w:val="single" w:sz="4" w:space="0" w:color="auto"/>
            </w:tcBorders>
            <w:shd w:val="clear" w:color="auto" w:fill="FFFF99"/>
            <w:noWrap/>
            <w:vAlign w:val="bottom"/>
          </w:tcPr>
          <w:p w14:paraId="72B9E73B" w14:textId="77777777" w:rsidR="008C584A" w:rsidRPr="008C584A" w:rsidRDefault="008C584A" w:rsidP="008C584A">
            <w:pPr>
              <w:spacing w:after="0" w:line="240" w:lineRule="auto"/>
              <w:jc w:val="right"/>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2 365 917</w:t>
            </w:r>
          </w:p>
        </w:tc>
        <w:tc>
          <w:tcPr>
            <w:tcW w:w="1040" w:type="dxa"/>
            <w:tcBorders>
              <w:bottom w:val="single" w:sz="4" w:space="0" w:color="auto"/>
            </w:tcBorders>
            <w:shd w:val="clear" w:color="auto" w:fill="FFFF99"/>
            <w:noWrap/>
            <w:vAlign w:val="bottom"/>
          </w:tcPr>
          <w:p w14:paraId="60E8A94F" w14:textId="77777777" w:rsidR="008C584A" w:rsidRPr="008C584A" w:rsidRDefault="008C584A" w:rsidP="008C584A">
            <w:pPr>
              <w:spacing w:after="0" w:line="240" w:lineRule="auto"/>
              <w:jc w:val="right"/>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365 917</w:t>
            </w:r>
          </w:p>
        </w:tc>
        <w:tc>
          <w:tcPr>
            <w:tcW w:w="1040" w:type="dxa"/>
            <w:tcBorders>
              <w:bottom w:val="single" w:sz="4" w:space="0" w:color="auto"/>
            </w:tcBorders>
            <w:shd w:val="clear" w:color="auto" w:fill="FFFF99"/>
            <w:vAlign w:val="bottom"/>
          </w:tcPr>
          <w:p w14:paraId="58B424AC" w14:textId="77777777" w:rsidR="008C584A" w:rsidRPr="008C584A" w:rsidRDefault="008C584A" w:rsidP="008C584A">
            <w:pPr>
              <w:spacing w:after="0" w:line="240" w:lineRule="auto"/>
              <w:jc w:val="right"/>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965 917</w:t>
            </w:r>
          </w:p>
        </w:tc>
        <w:tc>
          <w:tcPr>
            <w:tcW w:w="1040" w:type="dxa"/>
            <w:tcBorders>
              <w:bottom w:val="single" w:sz="4" w:space="0" w:color="auto"/>
            </w:tcBorders>
            <w:shd w:val="clear" w:color="auto" w:fill="FFFF99"/>
            <w:vAlign w:val="bottom"/>
          </w:tcPr>
          <w:p w14:paraId="11EFC6AF" w14:textId="77777777" w:rsidR="008C584A" w:rsidRPr="008C584A" w:rsidRDefault="008C584A" w:rsidP="008C584A">
            <w:pPr>
              <w:spacing w:after="0" w:line="240" w:lineRule="auto"/>
              <w:jc w:val="right"/>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965 917</w:t>
            </w:r>
          </w:p>
        </w:tc>
      </w:tr>
      <w:tr w:rsidR="008C584A" w:rsidRPr="008C584A" w14:paraId="04B9E0D6" w14:textId="77777777" w:rsidTr="005155C7">
        <w:trPr>
          <w:trHeight w:val="225"/>
        </w:trPr>
        <w:tc>
          <w:tcPr>
            <w:tcW w:w="1805" w:type="dxa"/>
            <w:shd w:val="clear" w:color="auto" w:fill="D9E2F3" w:themeFill="accent1" w:themeFillTint="33"/>
            <w:noWrap/>
            <w:vAlign w:val="bottom"/>
          </w:tcPr>
          <w:p w14:paraId="157AC042" w14:textId="77777777" w:rsidR="008C584A" w:rsidRPr="008C584A" w:rsidRDefault="008C584A" w:rsidP="008C584A">
            <w:pPr>
              <w:spacing w:after="0" w:line="240" w:lineRule="auto"/>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Wyszczególnienie </w:t>
            </w:r>
          </w:p>
        </w:tc>
        <w:tc>
          <w:tcPr>
            <w:tcW w:w="1207" w:type="dxa"/>
            <w:shd w:val="clear" w:color="auto" w:fill="D9E2F3" w:themeFill="accent1" w:themeFillTint="33"/>
            <w:noWrap/>
            <w:vAlign w:val="bottom"/>
          </w:tcPr>
          <w:p w14:paraId="212E5AE7"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2027</w:t>
            </w:r>
          </w:p>
        </w:tc>
        <w:tc>
          <w:tcPr>
            <w:tcW w:w="1040" w:type="dxa"/>
            <w:shd w:val="clear" w:color="auto" w:fill="D9E2F3" w:themeFill="accent1" w:themeFillTint="33"/>
            <w:noWrap/>
          </w:tcPr>
          <w:p w14:paraId="0A6208DE"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2028</w:t>
            </w:r>
          </w:p>
        </w:tc>
        <w:tc>
          <w:tcPr>
            <w:tcW w:w="1040" w:type="dxa"/>
            <w:shd w:val="clear" w:color="auto" w:fill="D9E2F3" w:themeFill="accent1" w:themeFillTint="33"/>
            <w:noWrap/>
          </w:tcPr>
          <w:p w14:paraId="6DFAE1EC"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2029</w:t>
            </w:r>
          </w:p>
        </w:tc>
        <w:tc>
          <w:tcPr>
            <w:tcW w:w="1040" w:type="dxa"/>
            <w:shd w:val="clear" w:color="auto" w:fill="D9E2F3" w:themeFill="accent1" w:themeFillTint="33"/>
            <w:vAlign w:val="bottom"/>
          </w:tcPr>
          <w:p w14:paraId="4CB9FA31"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2030</w:t>
            </w:r>
          </w:p>
        </w:tc>
        <w:tc>
          <w:tcPr>
            <w:tcW w:w="1040" w:type="dxa"/>
            <w:shd w:val="clear" w:color="auto" w:fill="D9E2F3" w:themeFill="accent1" w:themeFillTint="33"/>
            <w:vAlign w:val="bottom"/>
          </w:tcPr>
          <w:p w14:paraId="15C01387" w14:textId="77777777" w:rsidR="008C584A" w:rsidRPr="008C584A" w:rsidRDefault="008C584A" w:rsidP="008C584A">
            <w:pPr>
              <w:spacing w:after="0" w:line="240" w:lineRule="auto"/>
              <w:jc w:val="center"/>
              <w:outlineLvl w:val="0"/>
              <w:rPr>
                <w:rFonts w:ascii="Times New Roman" w:eastAsia="Times New Roman" w:hAnsi="Times New Roman" w:cs="Times New Roman"/>
                <w:bCs/>
                <w:sz w:val="20"/>
                <w:szCs w:val="20"/>
                <w:lang w:eastAsia="pl-PL"/>
              </w:rPr>
            </w:pPr>
            <w:r w:rsidRPr="008C584A">
              <w:rPr>
                <w:rFonts w:ascii="Times New Roman" w:eastAsia="Times New Roman" w:hAnsi="Times New Roman" w:cs="Times New Roman"/>
                <w:bCs/>
                <w:sz w:val="20"/>
                <w:szCs w:val="20"/>
                <w:lang w:eastAsia="pl-PL"/>
              </w:rPr>
              <w:t>2031</w:t>
            </w:r>
          </w:p>
        </w:tc>
      </w:tr>
      <w:tr w:rsidR="008C584A" w:rsidRPr="008C584A" w14:paraId="6BD1BBB4" w14:textId="77777777" w:rsidTr="00547343">
        <w:trPr>
          <w:trHeight w:val="210"/>
        </w:trPr>
        <w:tc>
          <w:tcPr>
            <w:tcW w:w="18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9F32D75" w14:textId="77777777" w:rsidR="008C584A" w:rsidRPr="008C584A" w:rsidRDefault="008C584A" w:rsidP="008C584A">
            <w:pPr>
              <w:spacing w:after="0" w:line="240" w:lineRule="auto"/>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Cs/>
                <w:sz w:val="20"/>
                <w:szCs w:val="20"/>
                <w:lang w:eastAsia="pl-PL"/>
              </w:rPr>
              <w:t>Inwestycje i inne wydatki majątkowe w mln zł</w:t>
            </w:r>
          </w:p>
        </w:tc>
        <w:tc>
          <w:tcPr>
            <w:tcW w:w="120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23D8CA"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sz w:val="20"/>
                <w:szCs w:val="20"/>
                <w:lang w:eastAsia="pl-PL"/>
              </w:rPr>
              <w:t>22 082 889</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409DD1"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sz w:val="20"/>
                <w:szCs w:val="20"/>
                <w:lang w:eastAsia="pl-PL"/>
              </w:rPr>
              <w:t>23 544 204</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F32C00"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sz w:val="20"/>
                <w:szCs w:val="20"/>
                <w:lang w:eastAsia="pl-PL"/>
              </w:rPr>
              <w:t>21 603 635</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FEBC401"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sz w:val="20"/>
                <w:szCs w:val="20"/>
                <w:lang w:eastAsia="pl-PL"/>
              </w:rPr>
              <w:t>22 697 480</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2CB498F"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sz w:val="20"/>
                <w:szCs w:val="20"/>
                <w:lang w:eastAsia="pl-PL"/>
              </w:rPr>
              <w:t>20 024 703</w:t>
            </w:r>
          </w:p>
        </w:tc>
      </w:tr>
      <w:tr w:rsidR="008C584A" w:rsidRPr="008C584A" w14:paraId="662ED352" w14:textId="77777777" w:rsidTr="00547343">
        <w:trPr>
          <w:trHeight w:val="210"/>
        </w:trPr>
        <w:tc>
          <w:tcPr>
            <w:tcW w:w="18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81AD08A" w14:textId="77777777" w:rsidR="008C584A" w:rsidRPr="008C584A" w:rsidRDefault="008C584A" w:rsidP="008C584A">
            <w:pPr>
              <w:spacing w:after="0" w:line="240" w:lineRule="auto"/>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Cs/>
                <w:color w:val="FF0000"/>
                <w:sz w:val="20"/>
                <w:szCs w:val="20"/>
                <w:lang w:eastAsia="pl-PL"/>
              </w:rPr>
              <w:t>Roczne przepływy gotówki netto w zł</w:t>
            </w:r>
          </w:p>
        </w:tc>
        <w:tc>
          <w:tcPr>
            <w:tcW w:w="120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7BF2A8D"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FF0000"/>
                <w:sz w:val="20"/>
                <w:szCs w:val="20"/>
                <w:lang w:eastAsia="pl-PL"/>
              </w:rPr>
              <w:t>0</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BD05D0F"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FF0000"/>
                <w:sz w:val="20"/>
                <w:szCs w:val="20"/>
                <w:lang w:eastAsia="pl-PL"/>
              </w:rPr>
              <w:t>0</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38EC942"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color w:val="FF0000"/>
                <w:sz w:val="20"/>
                <w:szCs w:val="20"/>
                <w:lang w:eastAsia="pl-PL"/>
              </w:rPr>
              <w:t>0</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7CBEDC0"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color w:val="FF0000"/>
                <w:sz w:val="20"/>
                <w:szCs w:val="20"/>
                <w:lang w:eastAsia="pl-PL"/>
              </w:rPr>
              <w:t>0</w:t>
            </w:r>
          </w:p>
        </w:tc>
        <w:tc>
          <w:tcPr>
            <w:tcW w:w="10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56CB37E"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color w:val="FF0000"/>
                <w:sz w:val="20"/>
                <w:szCs w:val="20"/>
                <w:lang w:eastAsia="pl-PL"/>
              </w:rPr>
              <w:t>0</w:t>
            </w:r>
          </w:p>
        </w:tc>
      </w:tr>
      <w:tr w:rsidR="008C584A" w:rsidRPr="008C584A" w14:paraId="7625B971" w14:textId="77777777" w:rsidTr="00547343">
        <w:trPr>
          <w:trHeight w:val="210"/>
        </w:trPr>
        <w:tc>
          <w:tcPr>
            <w:tcW w:w="1805"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2D6DD605" w14:textId="77777777" w:rsidR="008C584A" w:rsidRPr="008C584A" w:rsidRDefault="008C584A" w:rsidP="008C584A">
            <w:pPr>
              <w:spacing w:after="0" w:line="240" w:lineRule="auto"/>
              <w:rPr>
                <w:rFonts w:ascii="Times New Roman" w:eastAsia="Times New Roman" w:hAnsi="Times New Roman" w:cs="Times New Roman"/>
                <w:b/>
                <w:bCs/>
                <w:color w:val="0000FF"/>
                <w:sz w:val="20"/>
                <w:szCs w:val="20"/>
                <w:lang w:eastAsia="pl-PL"/>
              </w:rPr>
            </w:pPr>
            <w:r w:rsidRPr="008C584A">
              <w:rPr>
                <w:rFonts w:ascii="Times New Roman" w:eastAsia="Times New Roman" w:hAnsi="Times New Roman" w:cs="Times New Roman"/>
                <w:b/>
                <w:bCs/>
                <w:color w:val="0000FF"/>
                <w:sz w:val="20"/>
                <w:szCs w:val="20"/>
                <w:lang w:eastAsia="pl-PL"/>
              </w:rPr>
              <w:t>Wolne środki na koniec roku w zł</w:t>
            </w:r>
          </w:p>
        </w:tc>
        <w:tc>
          <w:tcPr>
            <w:tcW w:w="1207"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69B84080"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0000FF"/>
                <w:sz w:val="20"/>
                <w:szCs w:val="20"/>
                <w:lang w:eastAsia="pl-PL"/>
              </w:rPr>
              <w:t>965 917</w:t>
            </w:r>
          </w:p>
        </w:tc>
        <w:tc>
          <w:tcPr>
            <w:tcW w:w="104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5C8F61AA"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0000FF"/>
                <w:sz w:val="20"/>
                <w:szCs w:val="20"/>
                <w:lang w:eastAsia="pl-PL"/>
              </w:rPr>
              <w:t>965 917</w:t>
            </w:r>
          </w:p>
        </w:tc>
        <w:tc>
          <w:tcPr>
            <w:tcW w:w="1040" w:type="dxa"/>
            <w:tcBorders>
              <w:top w:val="single" w:sz="4" w:space="0" w:color="auto"/>
              <w:left w:val="single" w:sz="4" w:space="0" w:color="auto"/>
              <w:bottom w:val="single" w:sz="4" w:space="0" w:color="auto"/>
              <w:right w:val="single" w:sz="4" w:space="0" w:color="auto"/>
            </w:tcBorders>
            <w:shd w:val="clear" w:color="auto" w:fill="FFFF99"/>
            <w:noWrap/>
            <w:vAlign w:val="bottom"/>
          </w:tcPr>
          <w:p w14:paraId="03A29792"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0000FF"/>
                <w:sz w:val="20"/>
                <w:szCs w:val="20"/>
                <w:lang w:eastAsia="pl-PL"/>
              </w:rPr>
              <w:t>123 620</w:t>
            </w:r>
          </w:p>
        </w:tc>
        <w:tc>
          <w:tcPr>
            <w:tcW w:w="1040" w:type="dxa"/>
            <w:tcBorders>
              <w:top w:val="single" w:sz="4" w:space="0" w:color="auto"/>
              <w:left w:val="single" w:sz="4" w:space="0" w:color="auto"/>
              <w:bottom w:val="single" w:sz="4" w:space="0" w:color="auto"/>
              <w:right w:val="single" w:sz="4" w:space="0" w:color="auto"/>
            </w:tcBorders>
            <w:shd w:val="clear" w:color="auto" w:fill="FFFF99"/>
            <w:vAlign w:val="bottom"/>
          </w:tcPr>
          <w:p w14:paraId="0F9D633B"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0000FF"/>
                <w:sz w:val="20"/>
                <w:szCs w:val="20"/>
                <w:lang w:eastAsia="pl-PL"/>
              </w:rPr>
              <w:t>123 620</w:t>
            </w:r>
          </w:p>
        </w:tc>
        <w:tc>
          <w:tcPr>
            <w:tcW w:w="1040" w:type="dxa"/>
            <w:tcBorders>
              <w:top w:val="single" w:sz="4" w:space="0" w:color="auto"/>
              <w:left w:val="single" w:sz="4" w:space="0" w:color="auto"/>
              <w:bottom w:val="single" w:sz="4" w:space="0" w:color="auto"/>
              <w:right w:val="single" w:sz="4" w:space="0" w:color="auto"/>
            </w:tcBorders>
            <w:shd w:val="clear" w:color="auto" w:fill="FFFF99"/>
            <w:vAlign w:val="bottom"/>
          </w:tcPr>
          <w:p w14:paraId="23F481D6" w14:textId="77777777" w:rsidR="008C584A" w:rsidRPr="008C584A" w:rsidRDefault="008C584A" w:rsidP="008C584A">
            <w:pPr>
              <w:spacing w:after="0" w:line="240" w:lineRule="auto"/>
              <w:jc w:val="right"/>
              <w:rPr>
                <w:rFonts w:ascii="Times New Roman" w:eastAsia="Times New Roman" w:hAnsi="Times New Roman" w:cs="Times New Roman"/>
                <w:color w:val="0000FF"/>
                <w:sz w:val="20"/>
                <w:szCs w:val="20"/>
                <w:lang w:eastAsia="pl-PL"/>
              </w:rPr>
            </w:pPr>
            <w:r w:rsidRPr="008C584A">
              <w:rPr>
                <w:rFonts w:ascii="Times New Roman" w:eastAsia="Times New Roman" w:hAnsi="Times New Roman" w:cs="Times New Roman"/>
                <w:b/>
                <w:bCs/>
                <w:color w:val="0000FF"/>
                <w:sz w:val="20"/>
                <w:szCs w:val="20"/>
                <w:lang w:eastAsia="pl-PL"/>
              </w:rPr>
              <w:t>123 620</w:t>
            </w:r>
          </w:p>
        </w:tc>
      </w:tr>
    </w:tbl>
    <w:p w14:paraId="204827ED" w14:textId="77777777" w:rsidR="008C584A" w:rsidRPr="00F206D5" w:rsidRDefault="008C584A" w:rsidP="008C584A">
      <w:pPr>
        <w:spacing w:after="0" w:line="312" w:lineRule="auto"/>
        <w:jc w:val="both"/>
        <w:rPr>
          <w:rFonts w:ascii="Times New Roman" w:eastAsia="Times New Roman" w:hAnsi="Times New Roman" w:cs="Times New Roman"/>
          <w:sz w:val="24"/>
          <w:szCs w:val="24"/>
          <w:lang w:eastAsia="pl-PL"/>
        </w:rPr>
      </w:pPr>
      <w:r w:rsidRPr="00F206D5">
        <w:rPr>
          <w:rFonts w:ascii="Times New Roman" w:eastAsia="Times New Roman" w:hAnsi="Times New Roman" w:cs="Times New Roman"/>
          <w:sz w:val="24"/>
          <w:szCs w:val="24"/>
          <w:lang w:eastAsia="pl-PL"/>
        </w:rPr>
        <w:t>Źródło: obliczenia własne na podstawie danych budżetowych gminy Góra Kalwaria</w:t>
      </w:r>
    </w:p>
    <w:p w14:paraId="0B307CF4" w14:textId="77777777" w:rsidR="008C584A" w:rsidRPr="008C584A" w:rsidRDefault="008C584A" w:rsidP="008C584A">
      <w:pPr>
        <w:tabs>
          <w:tab w:val="left" w:pos="6255"/>
        </w:tabs>
        <w:spacing w:after="0" w:line="312" w:lineRule="auto"/>
        <w:jc w:val="both"/>
        <w:rPr>
          <w:rFonts w:ascii="Times New Roman" w:eastAsia="Times New Roman" w:hAnsi="Times New Roman" w:cs="Times New Roman"/>
          <w:i/>
          <w:iCs/>
          <w:sz w:val="16"/>
          <w:szCs w:val="16"/>
          <w:lang w:eastAsia="pl-PL"/>
        </w:rPr>
      </w:pPr>
      <w:r w:rsidRPr="008C584A">
        <w:rPr>
          <w:rFonts w:ascii="Times New Roman" w:eastAsia="Times New Roman" w:hAnsi="Times New Roman" w:cs="Times New Roman"/>
          <w:i/>
          <w:iCs/>
          <w:sz w:val="16"/>
          <w:szCs w:val="16"/>
          <w:lang w:eastAsia="pl-PL"/>
        </w:rPr>
        <w:tab/>
      </w:r>
    </w:p>
    <w:p w14:paraId="5E36458D" w14:textId="77777777" w:rsidR="008C584A" w:rsidRPr="008C584A" w:rsidRDefault="008C584A" w:rsidP="006B6EE8">
      <w:pPr>
        <w:tabs>
          <w:tab w:val="left" w:pos="0"/>
          <w:tab w:val="left" w:pos="9936"/>
          <w:tab w:val="left" w:pos="10080"/>
        </w:tabs>
        <w:spacing w:after="0" w:line="276" w:lineRule="auto"/>
        <w:ind w:firstLine="357"/>
        <w:jc w:val="both"/>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24"/>
          <w:szCs w:val="20"/>
          <w:lang w:eastAsia="pl-PL"/>
        </w:rPr>
        <w:t xml:space="preserve">Jak wynika z analizy wskaźnikowej projekcja przepływów finansowych nie wykazuje zagrożeń dla przyszłej sytuacji finansowej gminy. </w:t>
      </w:r>
    </w:p>
    <w:p w14:paraId="631712CE" w14:textId="77777777" w:rsidR="008C584A" w:rsidRPr="008C584A" w:rsidRDefault="008C584A" w:rsidP="006B6EE8">
      <w:pPr>
        <w:tabs>
          <w:tab w:val="left" w:pos="0"/>
          <w:tab w:val="left" w:pos="9936"/>
          <w:tab w:val="left" w:pos="10080"/>
        </w:tabs>
        <w:spacing w:after="0" w:line="276" w:lineRule="auto"/>
        <w:ind w:firstLine="357"/>
        <w:jc w:val="both"/>
        <w:rPr>
          <w:rFonts w:ascii="Times New Roman" w:eastAsia="Times New Roman" w:hAnsi="Times New Roman" w:cs="Times New Roman"/>
          <w:sz w:val="16"/>
          <w:szCs w:val="16"/>
          <w:lang w:eastAsia="pl-PL"/>
        </w:rPr>
      </w:pPr>
    </w:p>
    <w:p w14:paraId="073947D9" w14:textId="36A391AF" w:rsidR="008C584A" w:rsidRPr="008C584A" w:rsidRDefault="008C584A" w:rsidP="006B6EE8">
      <w:pPr>
        <w:tabs>
          <w:tab w:val="left" w:pos="0"/>
          <w:tab w:val="left" w:pos="9936"/>
          <w:tab w:val="left" w:pos="10080"/>
        </w:tabs>
        <w:spacing w:after="0" w:line="276" w:lineRule="auto"/>
        <w:ind w:firstLine="357"/>
        <w:jc w:val="both"/>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24"/>
          <w:szCs w:val="20"/>
          <w:lang w:eastAsia="pl-PL"/>
        </w:rPr>
        <w:t xml:space="preserve">Dane liczbowe dla tego wariantu prognozy zostały przedstawione w tabeli </w:t>
      </w:r>
      <w:r w:rsidR="001F5B8B">
        <w:rPr>
          <w:rFonts w:ascii="Times New Roman" w:eastAsia="Times New Roman" w:hAnsi="Times New Roman" w:cs="Times New Roman"/>
          <w:sz w:val="24"/>
          <w:szCs w:val="20"/>
          <w:lang w:eastAsia="pl-PL"/>
        </w:rPr>
        <w:t>13</w:t>
      </w:r>
      <w:r w:rsidRPr="008C584A">
        <w:rPr>
          <w:rFonts w:ascii="Times New Roman" w:eastAsia="Times New Roman" w:hAnsi="Times New Roman" w:cs="Times New Roman"/>
          <w:sz w:val="24"/>
          <w:szCs w:val="20"/>
          <w:lang w:eastAsia="pl-PL"/>
        </w:rPr>
        <w:t>, Scenariusz I, zobrazowanej ry</w:t>
      </w:r>
      <w:r w:rsidR="001F5B8B">
        <w:rPr>
          <w:rFonts w:ascii="Times New Roman" w:eastAsia="Times New Roman" w:hAnsi="Times New Roman" w:cs="Times New Roman"/>
          <w:sz w:val="24"/>
          <w:szCs w:val="20"/>
          <w:lang w:eastAsia="pl-PL"/>
        </w:rPr>
        <w:t xml:space="preserve">c. 15. </w:t>
      </w:r>
    </w:p>
    <w:p w14:paraId="3B860F99" w14:textId="77777777" w:rsidR="008C584A" w:rsidRPr="008C584A" w:rsidRDefault="008C584A" w:rsidP="008C584A">
      <w:pPr>
        <w:tabs>
          <w:tab w:val="left" w:pos="0"/>
          <w:tab w:val="left" w:pos="2295"/>
        </w:tabs>
        <w:spacing w:after="0" w:line="312" w:lineRule="auto"/>
        <w:jc w:val="both"/>
        <w:rPr>
          <w:rFonts w:ascii="Times New Roman" w:eastAsia="Times New Roman" w:hAnsi="Times New Roman" w:cs="Times New Roman"/>
          <w:b/>
          <w:sz w:val="24"/>
          <w:szCs w:val="20"/>
          <w:lang w:eastAsia="pl-PL"/>
        </w:rPr>
        <w:sectPr w:rsidR="008C584A" w:rsidRPr="008C584A" w:rsidSect="00590A38">
          <w:headerReference w:type="even" r:id="rId34"/>
          <w:headerReference w:type="default" r:id="rId35"/>
          <w:footerReference w:type="even" r:id="rId36"/>
          <w:footerReference w:type="default" r:id="rId37"/>
          <w:headerReference w:type="first" r:id="rId38"/>
          <w:footerReference w:type="first" r:id="rId39"/>
          <w:pgSz w:w="11906" w:h="16838" w:code="9"/>
          <w:pgMar w:top="1418" w:right="1418" w:bottom="1418" w:left="1418" w:header="964" w:footer="964" w:gutter="0"/>
          <w:cols w:space="708"/>
          <w:docGrid w:linePitch="360"/>
        </w:sectPr>
      </w:pPr>
    </w:p>
    <w:p w14:paraId="21112A2A" w14:textId="0E82A16B" w:rsidR="008C584A" w:rsidRPr="001F5B8B" w:rsidRDefault="008C584A" w:rsidP="008C584A">
      <w:pPr>
        <w:tabs>
          <w:tab w:val="left" w:pos="0"/>
          <w:tab w:val="left" w:pos="9936"/>
          <w:tab w:val="left" w:pos="10080"/>
        </w:tabs>
        <w:spacing w:after="0" w:line="288" w:lineRule="auto"/>
        <w:jc w:val="both"/>
        <w:rPr>
          <w:rFonts w:ascii="Times New Roman" w:eastAsia="Times New Roman" w:hAnsi="Times New Roman" w:cs="Times New Roman"/>
          <w:bCs/>
          <w:sz w:val="24"/>
          <w:szCs w:val="20"/>
          <w:lang w:eastAsia="pl-PL"/>
        </w:rPr>
      </w:pPr>
      <w:bookmarkStart w:id="65" w:name="_Hlk119637098"/>
      <w:r w:rsidRPr="001F5B8B">
        <w:rPr>
          <w:rFonts w:ascii="Times New Roman" w:eastAsia="Times New Roman" w:hAnsi="Times New Roman" w:cs="Times New Roman"/>
          <w:bCs/>
          <w:sz w:val="24"/>
          <w:szCs w:val="20"/>
          <w:lang w:eastAsia="pl-PL"/>
        </w:rPr>
        <w:lastRenderedPageBreak/>
        <w:t>T</w:t>
      </w:r>
      <w:r w:rsidR="001F5B8B" w:rsidRPr="001F5B8B">
        <w:rPr>
          <w:rFonts w:ascii="Times New Roman" w:eastAsia="Times New Roman" w:hAnsi="Times New Roman" w:cs="Times New Roman"/>
          <w:bCs/>
          <w:sz w:val="24"/>
          <w:szCs w:val="20"/>
          <w:lang w:eastAsia="pl-PL"/>
        </w:rPr>
        <w:t>abela 13.</w:t>
      </w:r>
      <w:r w:rsidRPr="001F5B8B">
        <w:rPr>
          <w:rFonts w:ascii="Times New Roman" w:eastAsia="Times New Roman" w:hAnsi="Times New Roman" w:cs="Times New Roman"/>
          <w:bCs/>
          <w:sz w:val="24"/>
          <w:szCs w:val="20"/>
          <w:lang w:eastAsia="pl-PL"/>
        </w:rPr>
        <w:t xml:space="preserve"> Prognozowane przepływy finansowe gminy Góra Kalwaria – zgodnie z Wieloletnia Prognozą Finansową</w:t>
      </w:r>
    </w:p>
    <w:bookmarkEnd w:id="65"/>
    <w:p w14:paraId="2A8B4EF9" w14:textId="77777777" w:rsidR="008C584A" w:rsidRPr="008C584A" w:rsidRDefault="008C584A" w:rsidP="008C584A">
      <w:pPr>
        <w:tabs>
          <w:tab w:val="left" w:pos="0"/>
          <w:tab w:val="left" w:pos="9936"/>
          <w:tab w:val="left" w:pos="10080"/>
        </w:tabs>
        <w:spacing w:after="0" w:line="288" w:lineRule="auto"/>
        <w:jc w:val="both"/>
        <w:rPr>
          <w:rFonts w:ascii="Times New Roman" w:eastAsia="Times New Roman" w:hAnsi="Times New Roman" w:cs="Times New Roman"/>
          <w:i/>
          <w:iCs/>
          <w:sz w:val="24"/>
          <w:szCs w:val="20"/>
          <w:lang w:eastAsia="pl-PL"/>
        </w:rPr>
      </w:pPr>
    </w:p>
    <w:tbl>
      <w:tblPr>
        <w:tblW w:w="13255"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98"/>
        <w:gridCol w:w="993"/>
        <w:gridCol w:w="992"/>
        <w:gridCol w:w="992"/>
        <w:gridCol w:w="992"/>
        <w:gridCol w:w="993"/>
        <w:gridCol w:w="992"/>
        <w:gridCol w:w="992"/>
        <w:gridCol w:w="992"/>
        <w:gridCol w:w="993"/>
        <w:gridCol w:w="1134"/>
        <w:gridCol w:w="992"/>
      </w:tblGrid>
      <w:tr w:rsidR="008C584A" w:rsidRPr="008C584A" w14:paraId="117CD4B0" w14:textId="77777777" w:rsidTr="005155C7">
        <w:trPr>
          <w:trHeight w:val="519"/>
        </w:trPr>
        <w:tc>
          <w:tcPr>
            <w:tcW w:w="2198" w:type="dxa"/>
            <w:shd w:val="clear" w:color="auto" w:fill="D9E2F3" w:themeFill="accent1" w:themeFillTint="33"/>
            <w:noWrap/>
            <w:vAlign w:val="bottom"/>
          </w:tcPr>
          <w:p w14:paraId="3D616566"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Wyszczególnienie </w:t>
            </w:r>
          </w:p>
        </w:tc>
        <w:tc>
          <w:tcPr>
            <w:tcW w:w="993" w:type="dxa"/>
            <w:shd w:val="clear" w:color="auto" w:fill="D9E2F3" w:themeFill="accent1" w:themeFillTint="33"/>
            <w:noWrap/>
            <w:vAlign w:val="bottom"/>
          </w:tcPr>
          <w:p w14:paraId="5C7BC3B5"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2021</w:t>
            </w:r>
          </w:p>
        </w:tc>
        <w:tc>
          <w:tcPr>
            <w:tcW w:w="992" w:type="dxa"/>
            <w:shd w:val="clear" w:color="auto" w:fill="D9E2F3" w:themeFill="accent1" w:themeFillTint="33"/>
            <w:noWrap/>
            <w:vAlign w:val="bottom"/>
          </w:tcPr>
          <w:p w14:paraId="130FE5CD"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2022</w:t>
            </w:r>
          </w:p>
        </w:tc>
        <w:tc>
          <w:tcPr>
            <w:tcW w:w="992" w:type="dxa"/>
            <w:shd w:val="clear" w:color="auto" w:fill="D9E2F3" w:themeFill="accent1" w:themeFillTint="33"/>
            <w:noWrap/>
            <w:vAlign w:val="bottom"/>
          </w:tcPr>
          <w:p w14:paraId="63EFA44A"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2023</w:t>
            </w:r>
          </w:p>
        </w:tc>
        <w:tc>
          <w:tcPr>
            <w:tcW w:w="992" w:type="dxa"/>
            <w:shd w:val="clear" w:color="auto" w:fill="D9E2F3" w:themeFill="accent1" w:themeFillTint="33"/>
            <w:noWrap/>
            <w:vAlign w:val="bottom"/>
          </w:tcPr>
          <w:p w14:paraId="7B7E9B46"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2024</w:t>
            </w:r>
          </w:p>
        </w:tc>
        <w:tc>
          <w:tcPr>
            <w:tcW w:w="993" w:type="dxa"/>
            <w:shd w:val="clear" w:color="auto" w:fill="D9E2F3" w:themeFill="accent1" w:themeFillTint="33"/>
            <w:noWrap/>
            <w:vAlign w:val="bottom"/>
          </w:tcPr>
          <w:p w14:paraId="4317B7F4"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2025</w:t>
            </w:r>
          </w:p>
        </w:tc>
        <w:tc>
          <w:tcPr>
            <w:tcW w:w="992" w:type="dxa"/>
            <w:shd w:val="clear" w:color="auto" w:fill="D9E2F3" w:themeFill="accent1" w:themeFillTint="33"/>
            <w:noWrap/>
            <w:vAlign w:val="bottom"/>
          </w:tcPr>
          <w:p w14:paraId="7FF8D84A"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2026</w:t>
            </w:r>
          </w:p>
        </w:tc>
        <w:tc>
          <w:tcPr>
            <w:tcW w:w="992" w:type="dxa"/>
            <w:shd w:val="clear" w:color="auto" w:fill="D9E2F3" w:themeFill="accent1" w:themeFillTint="33"/>
            <w:noWrap/>
            <w:vAlign w:val="bottom"/>
          </w:tcPr>
          <w:p w14:paraId="088E881F"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2027</w:t>
            </w:r>
          </w:p>
        </w:tc>
        <w:tc>
          <w:tcPr>
            <w:tcW w:w="992" w:type="dxa"/>
            <w:shd w:val="clear" w:color="auto" w:fill="D9E2F3" w:themeFill="accent1" w:themeFillTint="33"/>
            <w:vAlign w:val="bottom"/>
          </w:tcPr>
          <w:p w14:paraId="5F08BCD7"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2028</w:t>
            </w:r>
          </w:p>
        </w:tc>
        <w:tc>
          <w:tcPr>
            <w:tcW w:w="993" w:type="dxa"/>
            <w:shd w:val="clear" w:color="auto" w:fill="D9E2F3" w:themeFill="accent1" w:themeFillTint="33"/>
            <w:vAlign w:val="bottom"/>
          </w:tcPr>
          <w:p w14:paraId="6D416B0E"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2029</w:t>
            </w:r>
          </w:p>
        </w:tc>
        <w:tc>
          <w:tcPr>
            <w:tcW w:w="1134" w:type="dxa"/>
            <w:shd w:val="clear" w:color="auto" w:fill="D9E2F3" w:themeFill="accent1" w:themeFillTint="33"/>
            <w:vAlign w:val="bottom"/>
          </w:tcPr>
          <w:p w14:paraId="01B4E7F5"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2030</w:t>
            </w:r>
          </w:p>
        </w:tc>
        <w:tc>
          <w:tcPr>
            <w:tcW w:w="992" w:type="dxa"/>
            <w:shd w:val="clear" w:color="auto" w:fill="D9E2F3" w:themeFill="accent1" w:themeFillTint="33"/>
            <w:vAlign w:val="bottom"/>
          </w:tcPr>
          <w:p w14:paraId="14335CD3" w14:textId="77777777" w:rsidR="008C584A" w:rsidRPr="005155C7" w:rsidRDefault="008C584A" w:rsidP="008C584A">
            <w:pPr>
              <w:spacing w:after="0" w:line="240" w:lineRule="auto"/>
              <w:jc w:val="center"/>
              <w:rPr>
                <w:rFonts w:ascii="Times New Roman" w:eastAsia="Times New Roman" w:hAnsi="Times New Roman" w:cs="Times New Roman"/>
                <w:b/>
                <w:bCs/>
                <w:sz w:val="16"/>
                <w:szCs w:val="16"/>
                <w:lang w:eastAsia="pl-PL"/>
              </w:rPr>
            </w:pPr>
            <w:r w:rsidRPr="005155C7">
              <w:rPr>
                <w:rFonts w:ascii="Times New Roman" w:eastAsia="Times New Roman" w:hAnsi="Times New Roman" w:cs="Times New Roman"/>
                <w:b/>
                <w:bCs/>
                <w:sz w:val="16"/>
                <w:szCs w:val="16"/>
                <w:lang w:eastAsia="pl-PL"/>
              </w:rPr>
              <w:t>2031</w:t>
            </w:r>
          </w:p>
        </w:tc>
      </w:tr>
      <w:tr w:rsidR="008C584A" w:rsidRPr="008C584A" w14:paraId="6BF5FB2F" w14:textId="77777777" w:rsidTr="00547343">
        <w:trPr>
          <w:trHeight w:val="210"/>
        </w:trPr>
        <w:tc>
          <w:tcPr>
            <w:tcW w:w="2198" w:type="dxa"/>
            <w:shd w:val="clear" w:color="auto" w:fill="FFFFFF"/>
            <w:noWrap/>
            <w:vAlign w:val="bottom"/>
          </w:tcPr>
          <w:p w14:paraId="7CF819BC"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DOCHODY OGÓŁEM</w:t>
            </w:r>
          </w:p>
        </w:tc>
        <w:tc>
          <w:tcPr>
            <w:tcW w:w="993" w:type="dxa"/>
            <w:shd w:val="clear" w:color="auto" w:fill="FFFFFF"/>
            <w:noWrap/>
            <w:vAlign w:val="bottom"/>
          </w:tcPr>
          <w:p w14:paraId="55002B2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186 693 829</w:t>
            </w:r>
          </w:p>
        </w:tc>
        <w:tc>
          <w:tcPr>
            <w:tcW w:w="992" w:type="dxa"/>
            <w:shd w:val="clear" w:color="auto" w:fill="FFFFFF"/>
            <w:noWrap/>
            <w:vAlign w:val="bottom"/>
          </w:tcPr>
          <w:p w14:paraId="028503C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155 791 898</w:t>
            </w:r>
          </w:p>
        </w:tc>
        <w:tc>
          <w:tcPr>
            <w:tcW w:w="992" w:type="dxa"/>
            <w:shd w:val="clear" w:color="auto" w:fill="FFFFFF"/>
            <w:noWrap/>
            <w:vAlign w:val="bottom"/>
          </w:tcPr>
          <w:p w14:paraId="43EF16D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160 443 566</w:t>
            </w:r>
          </w:p>
        </w:tc>
        <w:tc>
          <w:tcPr>
            <w:tcW w:w="992" w:type="dxa"/>
            <w:shd w:val="clear" w:color="auto" w:fill="FFFFFF"/>
            <w:noWrap/>
            <w:vAlign w:val="bottom"/>
          </w:tcPr>
          <w:p w14:paraId="464B909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158 658 629</w:t>
            </w:r>
          </w:p>
        </w:tc>
        <w:tc>
          <w:tcPr>
            <w:tcW w:w="993" w:type="dxa"/>
            <w:shd w:val="clear" w:color="auto" w:fill="FFFFFF"/>
            <w:noWrap/>
            <w:vAlign w:val="bottom"/>
          </w:tcPr>
          <w:p w14:paraId="5BF5FB7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164 004 936</w:t>
            </w:r>
          </w:p>
        </w:tc>
        <w:tc>
          <w:tcPr>
            <w:tcW w:w="992" w:type="dxa"/>
            <w:shd w:val="clear" w:color="auto" w:fill="FFFFFF"/>
            <w:noWrap/>
            <w:vAlign w:val="bottom"/>
          </w:tcPr>
          <w:p w14:paraId="06BC060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171 003 933</w:t>
            </w:r>
          </w:p>
        </w:tc>
        <w:tc>
          <w:tcPr>
            <w:tcW w:w="992" w:type="dxa"/>
            <w:shd w:val="clear" w:color="auto" w:fill="FFFFFF"/>
            <w:noWrap/>
            <w:vAlign w:val="bottom"/>
          </w:tcPr>
          <w:p w14:paraId="7640FF0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176 402 879</w:t>
            </w:r>
          </w:p>
        </w:tc>
        <w:tc>
          <w:tcPr>
            <w:tcW w:w="992" w:type="dxa"/>
            <w:shd w:val="clear" w:color="auto" w:fill="FFFFFF"/>
            <w:vAlign w:val="bottom"/>
          </w:tcPr>
          <w:p w14:paraId="3685B03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181 604 215</w:t>
            </w:r>
          </w:p>
        </w:tc>
        <w:tc>
          <w:tcPr>
            <w:tcW w:w="993" w:type="dxa"/>
            <w:shd w:val="clear" w:color="auto" w:fill="FFFFFF"/>
            <w:vAlign w:val="bottom"/>
          </w:tcPr>
          <w:p w14:paraId="41C6698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190 533 180</w:t>
            </w:r>
          </w:p>
        </w:tc>
        <w:tc>
          <w:tcPr>
            <w:tcW w:w="1134" w:type="dxa"/>
            <w:shd w:val="clear" w:color="auto" w:fill="FFFFFF"/>
            <w:vAlign w:val="bottom"/>
          </w:tcPr>
          <w:p w14:paraId="73CB2C5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198 033 503</w:t>
            </w:r>
          </w:p>
        </w:tc>
        <w:tc>
          <w:tcPr>
            <w:tcW w:w="992" w:type="dxa"/>
            <w:shd w:val="clear" w:color="auto" w:fill="FFFFFF"/>
            <w:vAlign w:val="bottom"/>
          </w:tcPr>
          <w:p w14:paraId="54701C2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186 693 829</w:t>
            </w:r>
          </w:p>
        </w:tc>
      </w:tr>
      <w:tr w:rsidR="008C584A" w:rsidRPr="008C584A" w14:paraId="62A7A3D3" w14:textId="77777777" w:rsidTr="00547343">
        <w:trPr>
          <w:trHeight w:val="300"/>
        </w:trPr>
        <w:tc>
          <w:tcPr>
            <w:tcW w:w="2198" w:type="dxa"/>
            <w:shd w:val="clear" w:color="auto" w:fill="FFFFFF"/>
            <w:noWrap/>
            <w:vAlign w:val="bottom"/>
          </w:tcPr>
          <w:p w14:paraId="56B2182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w tym dochody bieżące</w:t>
            </w:r>
          </w:p>
        </w:tc>
        <w:tc>
          <w:tcPr>
            <w:tcW w:w="993" w:type="dxa"/>
            <w:shd w:val="clear" w:color="auto" w:fill="FFFFFF"/>
            <w:noWrap/>
            <w:vAlign w:val="bottom"/>
          </w:tcPr>
          <w:p w14:paraId="0956A25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16 715 939</w:t>
            </w:r>
          </w:p>
        </w:tc>
        <w:tc>
          <w:tcPr>
            <w:tcW w:w="992" w:type="dxa"/>
            <w:shd w:val="clear" w:color="auto" w:fill="FFFFFF"/>
            <w:noWrap/>
            <w:vAlign w:val="bottom"/>
          </w:tcPr>
          <w:p w14:paraId="5B9D855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18 142 611</w:t>
            </w:r>
          </w:p>
        </w:tc>
        <w:tc>
          <w:tcPr>
            <w:tcW w:w="992" w:type="dxa"/>
            <w:shd w:val="clear" w:color="auto" w:fill="FFFFFF"/>
            <w:noWrap/>
            <w:vAlign w:val="bottom"/>
          </w:tcPr>
          <w:p w14:paraId="45124AB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13 174 037</w:t>
            </w:r>
          </w:p>
        </w:tc>
        <w:tc>
          <w:tcPr>
            <w:tcW w:w="992" w:type="dxa"/>
            <w:shd w:val="clear" w:color="auto" w:fill="FFFFFF"/>
            <w:noWrap/>
            <w:vAlign w:val="bottom"/>
          </w:tcPr>
          <w:p w14:paraId="69C9AAC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4 625 000</w:t>
            </w:r>
          </w:p>
        </w:tc>
        <w:tc>
          <w:tcPr>
            <w:tcW w:w="993" w:type="dxa"/>
            <w:shd w:val="clear" w:color="auto" w:fill="FFFFFF"/>
            <w:noWrap/>
            <w:vAlign w:val="bottom"/>
          </w:tcPr>
          <w:p w14:paraId="78A9224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4 025 000</w:t>
            </w:r>
          </w:p>
        </w:tc>
        <w:tc>
          <w:tcPr>
            <w:tcW w:w="992" w:type="dxa"/>
            <w:shd w:val="clear" w:color="auto" w:fill="FFFFFF"/>
            <w:noWrap/>
            <w:vAlign w:val="bottom"/>
          </w:tcPr>
          <w:p w14:paraId="0B95E2E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3 025 000</w:t>
            </w:r>
          </w:p>
        </w:tc>
        <w:tc>
          <w:tcPr>
            <w:tcW w:w="992" w:type="dxa"/>
            <w:shd w:val="clear" w:color="auto" w:fill="FFFFFF"/>
            <w:noWrap/>
            <w:vAlign w:val="bottom"/>
          </w:tcPr>
          <w:p w14:paraId="102E865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3 025 000</w:t>
            </w:r>
          </w:p>
        </w:tc>
        <w:tc>
          <w:tcPr>
            <w:tcW w:w="992" w:type="dxa"/>
            <w:shd w:val="clear" w:color="auto" w:fill="FFFFFF"/>
            <w:vAlign w:val="bottom"/>
          </w:tcPr>
          <w:p w14:paraId="63E5A4C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3 025 000</w:t>
            </w:r>
          </w:p>
        </w:tc>
        <w:tc>
          <w:tcPr>
            <w:tcW w:w="993" w:type="dxa"/>
            <w:shd w:val="clear" w:color="auto" w:fill="FFFFFF"/>
            <w:vAlign w:val="bottom"/>
          </w:tcPr>
          <w:p w14:paraId="7BF058C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3 025 000</w:t>
            </w:r>
          </w:p>
        </w:tc>
        <w:tc>
          <w:tcPr>
            <w:tcW w:w="1134" w:type="dxa"/>
            <w:shd w:val="clear" w:color="auto" w:fill="FFFFFF"/>
            <w:vAlign w:val="bottom"/>
          </w:tcPr>
          <w:p w14:paraId="4E8C059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3 025 000</w:t>
            </w:r>
          </w:p>
        </w:tc>
        <w:tc>
          <w:tcPr>
            <w:tcW w:w="992" w:type="dxa"/>
            <w:shd w:val="clear" w:color="auto" w:fill="FFFFFF"/>
            <w:vAlign w:val="bottom"/>
          </w:tcPr>
          <w:p w14:paraId="6CBE7BF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16 715 939</w:t>
            </w:r>
          </w:p>
        </w:tc>
      </w:tr>
      <w:tr w:rsidR="008C584A" w:rsidRPr="008C584A" w14:paraId="7CA5D788" w14:textId="77777777" w:rsidTr="00547343">
        <w:trPr>
          <w:trHeight w:val="210"/>
        </w:trPr>
        <w:tc>
          <w:tcPr>
            <w:tcW w:w="2198" w:type="dxa"/>
            <w:shd w:val="clear" w:color="auto" w:fill="FFFFFF"/>
            <w:noWrap/>
            <w:vAlign w:val="bottom"/>
          </w:tcPr>
          <w:p w14:paraId="5444CCDD"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WYDATKI BIEŻĄCE:</w:t>
            </w:r>
          </w:p>
        </w:tc>
        <w:tc>
          <w:tcPr>
            <w:tcW w:w="993" w:type="dxa"/>
            <w:shd w:val="clear" w:color="auto" w:fill="FFFFFF"/>
            <w:noWrap/>
            <w:vAlign w:val="bottom"/>
          </w:tcPr>
          <w:p w14:paraId="6E7413B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177 561 031</w:t>
            </w:r>
          </w:p>
        </w:tc>
        <w:tc>
          <w:tcPr>
            <w:tcW w:w="992" w:type="dxa"/>
            <w:shd w:val="clear" w:color="auto" w:fill="FFFFFF"/>
            <w:noWrap/>
            <w:vAlign w:val="bottom"/>
          </w:tcPr>
          <w:p w14:paraId="762681F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127 871 984</w:t>
            </w:r>
          </w:p>
        </w:tc>
        <w:tc>
          <w:tcPr>
            <w:tcW w:w="992" w:type="dxa"/>
            <w:shd w:val="clear" w:color="auto" w:fill="FFFFFF"/>
            <w:noWrap/>
            <w:vAlign w:val="bottom"/>
          </w:tcPr>
          <w:p w14:paraId="3E53E89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133 036 361</w:t>
            </w:r>
          </w:p>
        </w:tc>
        <w:tc>
          <w:tcPr>
            <w:tcW w:w="992" w:type="dxa"/>
            <w:shd w:val="clear" w:color="auto" w:fill="FFFFFF"/>
            <w:noWrap/>
            <w:vAlign w:val="bottom"/>
          </w:tcPr>
          <w:p w14:paraId="340FEF2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135 659 387</w:t>
            </w:r>
          </w:p>
        </w:tc>
        <w:tc>
          <w:tcPr>
            <w:tcW w:w="993" w:type="dxa"/>
            <w:shd w:val="clear" w:color="auto" w:fill="FFFFFF"/>
            <w:noWrap/>
            <w:vAlign w:val="bottom"/>
          </w:tcPr>
          <w:p w14:paraId="6256B1B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141 729 169</w:t>
            </w:r>
          </w:p>
        </w:tc>
        <w:tc>
          <w:tcPr>
            <w:tcW w:w="992" w:type="dxa"/>
            <w:shd w:val="clear" w:color="auto" w:fill="FFFFFF"/>
            <w:noWrap/>
            <w:vAlign w:val="bottom"/>
          </w:tcPr>
          <w:p w14:paraId="32ED823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144 921 044</w:t>
            </w:r>
          </w:p>
        </w:tc>
        <w:tc>
          <w:tcPr>
            <w:tcW w:w="992" w:type="dxa"/>
            <w:shd w:val="clear" w:color="auto" w:fill="FFFFFF"/>
            <w:noWrap/>
            <w:vAlign w:val="bottom"/>
          </w:tcPr>
          <w:p w14:paraId="5CA8662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149 238 675</w:t>
            </w:r>
          </w:p>
        </w:tc>
        <w:tc>
          <w:tcPr>
            <w:tcW w:w="992" w:type="dxa"/>
            <w:shd w:val="clear" w:color="auto" w:fill="FFFFFF"/>
            <w:vAlign w:val="bottom"/>
          </w:tcPr>
          <w:p w14:paraId="43646DB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156 700 600</w:t>
            </w:r>
          </w:p>
        </w:tc>
        <w:tc>
          <w:tcPr>
            <w:tcW w:w="993" w:type="dxa"/>
            <w:shd w:val="clear" w:color="auto" w:fill="FFFFFF"/>
            <w:vAlign w:val="bottom"/>
          </w:tcPr>
          <w:p w14:paraId="7ED0F29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164 535 700</w:t>
            </w:r>
          </w:p>
        </w:tc>
        <w:tc>
          <w:tcPr>
            <w:tcW w:w="1134" w:type="dxa"/>
            <w:shd w:val="clear" w:color="auto" w:fill="FFFFFF"/>
            <w:vAlign w:val="bottom"/>
          </w:tcPr>
          <w:p w14:paraId="30F8970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174 408 800</w:t>
            </w:r>
          </w:p>
        </w:tc>
        <w:tc>
          <w:tcPr>
            <w:tcW w:w="992" w:type="dxa"/>
            <w:shd w:val="clear" w:color="auto" w:fill="FFFFFF"/>
            <w:vAlign w:val="bottom"/>
          </w:tcPr>
          <w:p w14:paraId="4BC5C1B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177 561 031</w:t>
            </w:r>
          </w:p>
        </w:tc>
      </w:tr>
      <w:tr w:rsidR="008C584A" w:rsidRPr="008C584A" w14:paraId="24D14469" w14:textId="77777777" w:rsidTr="00547343">
        <w:trPr>
          <w:trHeight w:val="225"/>
        </w:trPr>
        <w:tc>
          <w:tcPr>
            <w:tcW w:w="2198" w:type="dxa"/>
            <w:shd w:val="clear" w:color="auto" w:fill="FFFFFF"/>
            <w:noWrap/>
            <w:vAlign w:val="bottom"/>
          </w:tcPr>
          <w:p w14:paraId="014A69E1"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WYDATKI NA OBSŁUGĘ ZADŁUŻENIA</w:t>
            </w:r>
          </w:p>
        </w:tc>
        <w:tc>
          <w:tcPr>
            <w:tcW w:w="993" w:type="dxa"/>
            <w:shd w:val="clear" w:color="auto" w:fill="FFFFFF"/>
            <w:noWrap/>
            <w:vAlign w:val="bottom"/>
          </w:tcPr>
          <w:p w14:paraId="1ECC9EC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1 001 844</w:t>
            </w:r>
          </w:p>
        </w:tc>
        <w:tc>
          <w:tcPr>
            <w:tcW w:w="992" w:type="dxa"/>
            <w:shd w:val="clear" w:color="auto" w:fill="FFFFFF"/>
            <w:noWrap/>
            <w:vAlign w:val="bottom"/>
          </w:tcPr>
          <w:p w14:paraId="2AF3069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695 664</w:t>
            </w:r>
          </w:p>
        </w:tc>
        <w:tc>
          <w:tcPr>
            <w:tcW w:w="992" w:type="dxa"/>
            <w:shd w:val="clear" w:color="auto" w:fill="FFFFFF"/>
            <w:noWrap/>
            <w:vAlign w:val="bottom"/>
          </w:tcPr>
          <w:p w14:paraId="484FAD5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611 984</w:t>
            </w:r>
          </w:p>
        </w:tc>
        <w:tc>
          <w:tcPr>
            <w:tcW w:w="992" w:type="dxa"/>
            <w:shd w:val="clear" w:color="auto" w:fill="FFFFFF"/>
            <w:noWrap/>
            <w:vAlign w:val="bottom"/>
          </w:tcPr>
          <w:p w14:paraId="33BA082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598 304</w:t>
            </w:r>
          </w:p>
        </w:tc>
        <w:tc>
          <w:tcPr>
            <w:tcW w:w="993" w:type="dxa"/>
            <w:shd w:val="clear" w:color="auto" w:fill="FFFFFF"/>
            <w:noWrap/>
            <w:vAlign w:val="bottom"/>
          </w:tcPr>
          <w:p w14:paraId="02D7E05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488 600</w:t>
            </w:r>
          </w:p>
        </w:tc>
        <w:tc>
          <w:tcPr>
            <w:tcW w:w="992" w:type="dxa"/>
            <w:shd w:val="clear" w:color="auto" w:fill="FFFFFF"/>
            <w:noWrap/>
            <w:vAlign w:val="bottom"/>
          </w:tcPr>
          <w:p w14:paraId="2EC736F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376 348</w:t>
            </w:r>
          </w:p>
        </w:tc>
        <w:tc>
          <w:tcPr>
            <w:tcW w:w="992" w:type="dxa"/>
            <w:shd w:val="clear" w:color="auto" w:fill="FFFFFF"/>
            <w:noWrap/>
            <w:vAlign w:val="bottom"/>
          </w:tcPr>
          <w:p w14:paraId="2B9459C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292 756</w:t>
            </w:r>
          </w:p>
        </w:tc>
        <w:tc>
          <w:tcPr>
            <w:tcW w:w="992" w:type="dxa"/>
            <w:shd w:val="clear" w:color="auto" w:fill="FFFFFF"/>
            <w:vAlign w:val="bottom"/>
          </w:tcPr>
          <w:p w14:paraId="7545130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208 000</w:t>
            </w:r>
          </w:p>
        </w:tc>
        <w:tc>
          <w:tcPr>
            <w:tcW w:w="993" w:type="dxa"/>
            <w:shd w:val="clear" w:color="auto" w:fill="FFFFFF"/>
            <w:vAlign w:val="bottom"/>
          </w:tcPr>
          <w:p w14:paraId="75F8481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176 000</w:t>
            </w:r>
          </w:p>
        </w:tc>
        <w:tc>
          <w:tcPr>
            <w:tcW w:w="1134" w:type="dxa"/>
            <w:shd w:val="clear" w:color="auto" w:fill="FFFFFF"/>
            <w:vAlign w:val="bottom"/>
          </w:tcPr>
          <w:p w14:paraId="50F3668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94 000</w:t>
            </w:r>
          </w:p>
        </w:tc>
        <w:tc>
          <w:tcPr>
            <w:tcW w:w="992" w:type="dxa"/>
            <w:shd w:val="clear" w:color="auto" w:fill="FFFFFF"/>
            <w:vAlign w:val="bottom"/>
          </w:tcPr>
          <w:p w14:paraId="24B091A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1 001 844</w:t>
            </w:r>
          </w:p>
        </w:tc>
      </w:tr>
      <w:tr w:rsidR="008C584A" w:rsidRPr="008C584A" w14:paraId="26AC0D52" w14:textId="77777777" w:rsidTr="00547343">
        <w:trPr>
          <w:trHeight w:val="210"/>
        </w:trPr>
        <w:tc>
          <w:tcPr>
            <w:tcW w:w="2198" w:type="dxa"/>
            <w:shd w:val="clear" w:color="auto" w:fill="FFFFFF"/>
            <w:noWrap/>
            <w:vAlign w:val="bottom"/>
          </w:tcPr>
          <w:p w14:paraId="0B3A2A38"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SRODKI NA WYDATKI MAJĄTKOWE BRUTTO</w:t>
            </w:r>
          </w:p>
        </w:tc>
        <w:tc>
          <w:tcPr>
            <w:tcW w:w="993" w:type="dxa"/>
            <w:shd w:val="clear" w:color="auto" w:fill="FFFFFF"/>
            <w:noWrap/>
            <w:vAlign w:val="bottom"/>
          </w:tcPr>
          <w:p w14:paraId="5172510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9 132 798</w:t>
            </w:r>
          </w:p>
        </w:tc>
        <w:tc>
          <w:tcPr>
            <w:tcW w:w="992" w:type="dxa"/>
            <w:shd w:val="clear" w:color="auto" w:fill="FFFFFF"/>
            <w:noWrap/>
            <w:vAlign w:val="bottom"/>
          </w:tcPr>
          <w:p w14:paraId="299C4E1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27 919 914</w:t>
            </w:r>
          </w:p>
        </w:tc>
        <w:tc>
          <w:tcPr>
            <w:tcW w:w="992" w:type="dxa"/>
            <w:shd w:val="clear" w:color="auto" w:fill="FFFFFF"/>
            <w:noWrap/>
            <w:vAlign w:val="bottom"/>
          </w:tcPr>
          <w:p w14:paraId="6C6CB78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27 407 205</w:t>
            </w:r>
          </w:p>
        </w:tc>
        <w:tc>
          <w:tcPr>
            <w:tcW w:w="992" w:type="dxa"/>
            <w:shd w:val="clear" w:color="auto" w:fill="FFFFFF"/>
            <w:noWrap/>
            <w:vAlign w:val="bottom"/>
          </w:tcPr>
          <w:p w14:paraId="21CA64F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22 999 242</w:t>
            </w:r>
          </w:p>
        </w:tc>
        <w:tc>
          <w:tcPr>
            <w:tcW w:w="993" w:type="dxa"/>
            <w:shd w:val="clear" w:color="auto" w:fill="FFFFFF"/>
            <w:noWrap/>
            <w:vAlign w:val="bottom"/>
          </w:tcPr>
          <w:p w14:paraId="6C90B30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22 275 767</w:t>
            </w:r>
          </w:p>
        </w:tc>
        <w:tc>
          <w:tcPr>
            <w:tcW w:w="992" w:type="dxa"/>
            <w:shd w:val="clear" w:color="auto" w:fill="FFFFFF"/>
            <w:noWrap/>
            <w:vAlign w:val="bottom"/>
          </w:tcPr>
          <w:p w14:paraId="0631A03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26 082 889</w:t>
            </w:r>
          </w:p>
        </w:tc>
        <w:tc>
          <w:tcPr>
            <w:tcW w:w="992" w:type="dxa"/>
            <w:shd w:val="clear" w:color="auto" w:fill="FFFFFF"/>
            <w:noWrap/>
            <w:vAlign w:val="bottom"/>
          </w:tcPr>
          <w:p w14:paraId="38DD05B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27 164 204</w:t>
            </w:r>
          </w:p>
        </w:tc>
        <w:tc>
          <w:tcPr>
            <w:tcW w:w="992" w:type="dxa"/>
            <w:shd w:val="clear" w:color="auto" w:fill="FFFFFF"/>
            <w:vAlign w:val="bottom"/>
          </w:tcPr>
          <w:p w14:paraId="1231619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24 903 615</w:t>
            </w:r>
          </w:p>
        </w:tc>
        <w:tc>
          <w:tcPr>
            <w:tcW w:w="993" w:type="dxa"/>
            <w:shd w:val="clear" w:color="auto" w:fill="FFFFFF"/>
            <w:vAlign w:val="bottom"/>
          </w:tcPr>
          <w:p w14:paraId="0B79164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25 997 480</w:t>
            </w:r>
          </w:p>
        </w:tc>
        <w:tc>
          <w:tcPr>
            <w:tcW w:w="1134" w:type="dxa"/>
            <w:shd w:val="clear" w:color="auto" w:fill="FFFFFF"/>
            <w:vAlign w:val="bottom"/>
          </w:tcPr>
          <w:p w14:paraId="3F594FE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23 624 703</w:t>
            </w:r>
          </w:p>
        </w:tc>
        <w:tc>
          <w:tcPr>
            <w:tcW w:w="992" w:type="dxa"/>
            <w:shd w:val="clear" w:color="auto" w:fill="FFFFFF"/>
            <w:vAlign w:val="bottom"/>
          </w:tcPr>
          <w:p w14:paraId="605B392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9 132 798</w:t>
            </w:r>
          </w:p>
        </w:tc>
      </w:tr>
      <w:tr w:rsidR="008C584A" w:rsidRPr="008C584A" w14:paraId="10D506E6" w14:textId="77777777" w:rsidTr="00547343">
        <w:trPr>
          <w:trHeight w:val="210"/>
        </w:trPr>
        <w:tc>
          <w:tcPr>
            <w:tcW w:w="2198" w:type="dxa"/>
            <w:shd w:val="clear" w:color="auto" w:fill="FFFFFF"/>
            <w:noWrap/>
            <w:vAlign w:val="bottom"/>
          </w:tcPr>
          <w:p w14:paraId="3187C434"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FINANSOWANIE MBBR</w:t>
            </w:r>
          </w:p>
        </w:tc>
        <w:tc>
          <w:tcPr>
            <w:tcW w:w="993" w:type="dxa"/>
            <w:shd w:val="clear" w:color="auto" w:fill="FFFFFF"/>
            <w:noWrap/>
            <w:vAlign w:val="bottom"/>
          </w:tcPr>
          <w:p w14:paraId="407EC852"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noWrap/>
            <w:vAlign w:val="bottom"/>
          </w:tcPr>
          <w:p w14:paraId="5AD7CBED"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noWrap/>
            <w:vAlign w:val="bottom"/>
          </w:tcPr>
          <w:p w14:paraId="23B730A5"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noWrap/>
            <w:vAlign w:val="bottom"/>
          </w:tcPr>
          <w:p w14:paraId="45D1F2D9"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3" w:type="dxa"/>
            <w:shd w:val="clear" w:color="auto" w:fill="FFFFFF"/>
            <w:noWrap/>
            <w:vAlign w:val="bottom"/>
          </w:tcPr>
          <w:p w14:paraId="225E3E8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noWrap/>
            <w:vAlign w:val="bottom"/>
          </w:tcPr>
          <w:p w14:paraId="1492B19E"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noWrap/>
            <w:vAlign w:val="bottom"/>
          </w:tcPr>
          <w:p w14:paraId="5AB4C0AE"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vAlign w:val="bottom"/>
          </w:tcPr>
          <w:p w14:paraId="6350BB96"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3" w:type="dxa"/>
            <w:shd w:val="clear" w:color="auto" w:fill="FFFFFF"/>
            <w:vAlign w:val="bottom"/>
          </w:tcPr>
          <w:p w14:paraId="2B39444F"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1134" w:type="dxa"/>
            <w:shd w:val="clear" w:color="auto" w:fill="FFFFFF"/>
            <w:vAlign w:val="bottom"/>
          </w:tcPr>
          <w:p w14:paraId="4EFE43DE"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c>
          <w:tcPr>
            <w:tcW w:w="992" w:type="dxa"/>
            <w:shd w:val="clear" w:color="auto" w:fill="FFFFFF"/>
            <w:vAlign w:val="bottom"/>
          </w:tcPr>
          <w:p w14:paraId="0B7E8C32"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p>
        </w:tc>
      </w:tr>
      <w:tr w:rsidR="008C584A" w:rsidRPr="008C584A" w14:paraId="46548B2D" w14:textId="77777777" w:rsidTr="00547343">
        <w:trPr>
          <w:trHeight w:val="210"/>
        </w:trPr>
        <w:tc>
          <w:tcPr>
            <w:tcW w:w="2198" w:type="dxa"/>
            <w:shd w:val="clear" w:color="auto" w:fill="FFFFFF"/>
            <w:noWrap/>
            <w:vAlign w:val="bottom"/>
          </w:tcPr>
          <w:p w14:paraId="577669E3"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Przychody z zaciągania długu</w:t>
            </w:r>
          </w:p>
        </w:tc>
        <w:tc>
          <w:tcPr>
            <w:tcW w:w="993" w:type="dxa"/>
            <w:shd w:val="clear" w:color="auto" w:fill="FFFFFF"/>
            <w:noWrap/>
            <w:vAlign w:val="bottom"/>
          </w:tcPr>
          <w:p w14:paraId="74C91C7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10 200 000,00</w:t>
            </w:r>
          </w:p>
        </w:tc>
        <w:tc>
          <w:tcPr>
            <w:tcW w:w="992" w:type="dxa"/>
            <w:shd w:val="clear" w:color="auto" w:fill="FFFFFF"/>
            <w:noWrap/>
            <w:vAlign w:val="bottom"/>
          </w:tcPr>
          <w:p w14:paraId="62566D8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p>
        </w:tc>
        <w:tc>
          <w:tcPr>
            <w:tcW w:w="992" w:type="dxa"/>
            <w:shd w:val="clear" w:color="auto" w:fill="FFFFFF"/>
            <w:noWrap/>
            <w:vAlign w:val="bottom"/>
          </w:tcPr>
          <w:p w14:paraId="28B5B68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5E283FF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noWrap/>
            <w:vAlign w:val="bottom"/>
          </w:tcPr>
          <w:p w14:paraId="492BE32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33B5BD3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5E279D7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30D200C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vAlign w:val="bottom"/>
          </w:tcPr>
          <w:p w14:paraId="0374C4D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1134" w:type="dxa"/>
            <w:shd w:val="clear" w:color="auto" w:fill="FFFFFF"/>
            <w:vAlign w:val="bottom"/>
          </w:tcPr>
          <w:p w14:paraId="31B0FB5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6DA74D7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10 200 000,00</w:t>
            </w:r>
          </w:p>
        </w:tc>
      </w:tr>
      <w:tr w:rsidR="008C584A" w:rsidRPr="008C584A" w14:paraId="6E3D5E1F" w14:textId="77777777" w:rsidTr="00547343">
        <w:trPr>
          <w:trHeight w:val="210"/>
        </w:trPr>
        <w:tc>
          <w:tcPr>
            <w:tcW w:w="2198" w:type="dxa"/>
            <w:shd w:val="clear" w:color="auto" w:fill="FFFFFF"/>
            <w:noWrap/>
            <w:vAlign w:val="bottom"/>
          </w:tcPr>
          <w:p w14:paraId="346C2460"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Przychody z prywatyzacji</w:t>
            </w:r>
          </w:p>
        </w:tc>
        <w:tc>
          <w:tcPr>
            <w:tcW w:w="993" w:type="dxa"/>
            <w:shd w:val="clear" w:color="auto" w:fill="FFFFFF"/>
            <w:noWrap/>
            <w:vAlign w:val="bottom"/>
          </w:tcPr>
          <w:p w14:paraId="33BC475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5909FE5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6F6E533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767B9DD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noWrap/>
            <w:vAlign w:val="bottom"/>
          </w:tcPr>
          <w:p w14:paraId="7F62AC0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076F471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530610A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2AB96FF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vAlign w:val="bottom"/>
          </w:tcPr>
          <w:p w14:paraId="270A4C4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1134" w:type="dxa"/>
            <w:shd w:val="clear" w:color="auto" w:fill="FFFFFF"/>
            <w:vAlign w:val="bottom"/>
          </w:tcPr>
          <w:p w14:paraId="511BF91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392F7F8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r>
      <w:tr w:rsidR="008C584A" w:rsidRPr="008C584A" w14:paraId="0FFA9CC1" w14:textId="77777777" w:rsidTr="00547343">
        <w:trPr>
          <w:trHeight w:val="210"/>
        </w:trPr>
        <w:tc>
          <w:tcPr>
            <w:tcW w:w="2198" w:type="dxa"/>
            <w:shd w:val="clear" w:color="auto" w:fill="FFFFFF"/>
            <w:noWrap/>
            <w:vAlign w:val="bottom"/>
          </w:tcPr>
          <w:p w14:paraId="4350CEE9"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Spłata zadłużenia</w:t>
            </w:r>
          </w:p>
        </w:tc>
        <w:tc>
          <w:tcPr>
            <w:tcW w:w="993" w:type="dxa"/>
            <w:shd w:val="clear" w:color="auto" w:fill="FFFFFF"/>
            <w:noWrap/>
            <w:vAlign w:val="bottom"/>
          </w:tcPr>
          <w:p w14:paraId="0E1EA00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4 000 000</w:t>
            </w:r>
          </w:p>
        </w:tc>
        <w:tc>
          <w:tcPr>
            <w:tcW w:w="992" w:type="dxa"/>
            <w:shd w:val="clear" w:color="auto" w:fill="FFFFFF"/>
            <w:noWrap/>
            <w:vAlign w:val="bottom"/>
          </w:tcPr>
          <w:p w14:paraId="47EE0F2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3 900 000</w:t>
            </w:r>
          </w:p>
        </w:tc>
        <w:tc>
          <w:tcPr>
            <w:tcW w:w="992" w:type="dxa"/>
            <w:shd w:val="clear" w:color="auto" w:fill="FFFFFF"/>
            <w:noWrap/>
            <w:vAlign w:val="bottom"/>
          </w:tcPr>
          <w:p w14:paraId="12C8002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4 100 000</w:t>
            </w:r>
          </w:p>
        </w:tc>
        <w:tc>
          <w:tcPr>
            <w:tcW w:w="992" w:type="dxa"/>
            <w:shd w:val="clear" w:color="auto" w:fill="FFFFFF"/>
            <w:noWrap/>
            <w:vAlign w:val="bottom"/>
          </w:tcPr>
          <w:p w14:paraId="1DBA4F0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4 044 000</w:t>
            </w:r>
          </w:p>
        </w:tc>
        <w:tc>
          <w:tcPr>
            <w:tcW w:w="993" w:type="dxa"/>
            <w:shd w:val="clear" w:color="auto" w:fill="FFFFFF"/>
            <w:noWrap/>
            <w:vAlign w:val="bottom"/>
          </w:tcPr>
          <w:p w14:paraId="0F76933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3 977 000</w:t>
            </w:r>
          </w:p>
        </w:tc>
        <w:tc>
          <w:tcPr>
            <w:tcW w:w="992" w:type="dxa"/>
            <w:shd w:val="clear" w:color="auto" w:fill="FFFFFF"/>
            <w:noWrap/>
            <w:vAlign w:val="bottom"/>
          </w:tcPr>
          <w:p w14:paraId="52FB60E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4 000 000</w:t>
            </w:r>
          </w:p>
        </w:tc>
        <w:tc>
          <w:tcPr>
            <w:tcW w:w="992" w:type="dxa"/>
            <w:shd w:val="clear" w:color="auto" w:fill="FFFFFF"/>
            <w:noWrap/>
            <w:vAlign w:val="bottom"/>
          </w:tcPr>
          <w:p w14:paraId="10C069C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3 620 000</w:t>
            </w:r>
          </w:p>
        </w:tc>
        <w:tc>
          <w:tcPr>
            <w:tcW w:w="992" w:type="dxa"/>
            <w:shd w:val="clear" w:color="auto" w:fill="FFFFFF"/>
            <w:vAlign w:val="bottom"/>
          </w:tcPr>
          <w:p w14:paraId="40A719E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3 300 000</w:t>
            </w:r>
          </w:p>
        </w:tc>
        <w:tc>
          <w:tcPr>
            <w:tcW w:w="993" w:type="dxa"/>
            <w:shd w:val="clear" w:color="auto" w:fill="FFFFFF"/>
            <w:vAlign w:val="bottom"/>
          </w:tcPr>
          <w:p w14:paraId="6598F97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3 300 000</w:t>
            </w:r>
          </w:p>
        </w:tc>
        <w:tc>
          <w:tcPr>
            <w:tcW w:w="1134" w:type="dxa"/>
            <w:shd w:val="clear" w:color="auto" w:fill="FFFFFF"/>
            <w:vAlign w:val="bottom"/>
          </w:tcPr>
          <w:p w14:paraId="38A67E6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3 600 000</w:t>
            </w:r>
          </w:p>
        </w:tc>
        <w:tc>
          <w:tcPr>
            <w:tcW w:w="992" w:type="dxa"/>
            <w:shd w:val="clear" w:color="auto" w:fill="FFFFFF"/>
            <w:vAlign w:val="bottom"/>
          </w:tcPr>
          <w:p w14:paraId="664C162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4 000 000</w:t>
            </w:r>
          </w:p>
        </w:tc>
      </w:tr>
      <w:tr w:rsidR="008C584A" w:rsidRPr="008C584A" w14:paraId="3D975F62" w14:textId="77777777" w:rsidTr="00547343">
        <w:trPr>
          <w:trHeight w:val="210"/>
        </w:trPr>
        <w:tc>
          <w:tcPr>
            <w:tcW w:w="2198" w:type="dxa"/>
            <w:shd w:val="clear" w:color="auto" w:fill="FFFFFF"/>
            <w:noWrap/>
            <w:vAlign w:val="bottom"/>
          </w:tcPr>
          <w:p w14:paraId="1C5C4FA3"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Pozostałe rozchody</w:t>
            </w:r>
          </w:p>
        </w:tc>
        <w:tc>
          <w:tcPr>
            <w:tcW w:w="993" w:type="dxa"/>
            <w:shd w:val="clear" w:color="auto" w:fill="FFFFFF"/>
            <w:noWrap/>
            <w:vAlign w:val="bottom"/>
          </w:tcPr>
          <w:p w14:paraId="1C67EA8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599DB78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1296988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366533E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noWrap/>
            <w:vAlign w:val="bottom"/>
          </w:tcPr>
          <w:p w14:paraId="6384F0B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7E14A25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noWrap/>
            <w:vAlign w:val="bottom"/>
          </w:tcPr>
          <w:p w14:paraId="78A473A3"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57F52F9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3" w:type="dxa"/>
            <w:shd w:val="clear" w:color="auto" w:fill="FFFFFF"/>
            <w:vAlign w:val="bottom"/>
          </w:tcPr>
          <w:p w14:paraId="7430C6E4"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1134" w:type="dxa"/>
            <w:shd w:val="clear" w:color="auto" w:fill="FFFFFF"/>
            <w:vAlign w:val="bottom"/>
          </w:tcPr>
          <w:p w14:paraId="0E4B1AC2"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c>
          <w:tcPr>
            <w:tcW w:w="992" w:type="dxa"/>
            <w:shd w:val="clear" w:color="auto" w:fill="FFFFFF"/>
            <w:vAlign w:val="bottom"/>
          </w:tcPr>
          <w:p w14:paraId="724E36C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0</w:t>
            </w:r>
          </w:p>
        </w:tc>
      </w:tr>
      <w:tr w:rsidR="008C584A" w:rsidRPr="008C584A" w14:paraId="44B2429E" w14:textId="77777777" w:rsidTr="00547343">
        <w:trPr>
          <w:trHeight w:val="240"/>
        </w:trPr>
        <w:tc>
          <w:tcPr>
            <w:tcW w:w="2198" w:type="dxa"/>
            <w:shd w:val="clear" w:color="auto" w:fill="FFFFFF"/>
            <w:noWrap/>
            <w:vAlign w:val="bottom"/>
          </w:tcPr>
          <w:p w14:paraId="73330159"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ŚRODKI NA WYDATKI MAJĄTKOWE NETTO</w:t>
            </w:r>
          </w:p>
        </w:tc>
        <w:tc>
          <w:tcPr>
            <w:tcW w:w="993" w:type="dxa"/>
            <w:shd w:val="clear" w:color="auto" w:fill="FFFFFF"/>
            <w:noWrap/>
            <w:vAlign w:val="bottom"/>
          </w:tcPr>
          <w:p w14:paraId="06C7AFD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15 332 798</w:t>
            </w:r>
          </w:p>
        </w:tc>
        <w:tc>
          <w:tcPr>
            <w:tcW w:w="992" w:type="dxa"/>
            <w:shd w:val="clear" w:color="auto" w:fill="FFFFFF"/>
            <w:noWrap/>
            <w:vAlign w:val="bottom"/>
          </w:tcPr>
          <w:p w14:paraId="35B286E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24 019 914</w:t>
            </w:r>
          </w:p>
        </w:tc>
        <w:tc>
          <w:tcPr>
            <w:tcW w:w="992" w:type="dxa"/>
            <w:shd w:val="clear" w:color="auto" w:fill="FFFFFF"/>
            <w:noWrap/>
            <w:vAlign w:val="bottom"/>
          </w:tcPr>
          <w:p w14:paraId="1CEF238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23 307 205</w:t>
            </w:r>
          </w:p>
        </w:tc>
        <w:tc>
          <w:tcPr>
            <w:tcW w:w="992" w:type="dxa"/>
            <w:shd w:val="clear" w:color="auto" w:fill="FFFFFF"/>
            <w:noWrap/>
            <w:vAlign w:val="bottom"/>
          </w:tcPr>
          <w:p w14:paraId="1D333F20"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18 955 242</w:t>
            </w:r>
          </w:p>
        </w:tc>
        <w:tc>
          <w:tcPr>
            <w:tcW w:w="993" w:type="dxa"/>
            <w:shd w:val="clear" w:color="auto" w:fill="FFFFFF"/>
            <w:noWrap/>
            <w:vAlign w:val="bottom"/>
          </w:tcPr>
          <w:p w14:paraId="520967D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18 298 767</w:t>
            </w:r>
          </w:p>
        </w:tc>
        <w:tc>
          <w:tcPr>
            <w:tcW w:w="992" w:type="dxa"/>
            <w:shd w:val="clear" w:color="auto" w:fill="FFFFFF"/>
            <w:noWrap/>
            <w:vAlign w:val="bottom"/>
          </w:tcPr>
          <w:p w14:paraId="4DE2A72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22 082 889</w:t>
            </w:r>
          </w:p>
        </w:tc>
        <w:tc>
          <w:tcPr>
            <w:tcW w:w="992" w:type="dxa"/>
            <w:shd w:val="clear" w:color="auto" w:fill="FFFFFF"/>
            <w:noWrap/>
            <w:vAlign w:val="bottom"/>
          </w:tcPr>
          <w:p w14:paraId="0B339ED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23 544 204</w:t>
            </w:r>
          </w:p>
        </w:tc>
        <w:tc>
          <w:tcPr>
            <w:tcW w:w="992" w:type="dxa"/>
            <w:shd w:val="clear" w:color="auto" w:fill="FFFFFF"/>
            <w:vAlign w:val="bottom"/>
          </w:tcPr>
          <w:p w14:paraId="566295B8"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21 603 615</w:t>
            </w:r>
          </w:p>
        </w:tc>
        <w:tc>
          <w:tcPr>
            <w:tcW w:w="993" w:type="dxa"/>
            <w:shd w:val="clear" w:color="auto" w:fill="FFFFFF"/>
            <w:vAlign w:val="bottom"/>
          </w:tcPr>
          <w:p w14:paraId="1F16A357"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22 697 480</w:t>
            </w:r>
          </w:p>
        </w:tc>
        <w:tc>
          <w:tcPr>
            <w:tcW w:w="1134" w:type="dxa"/>
            <w:shd w:val="clear" w:color="auto" w:fill="FFFFFF"/>
            <w:vAlign w:val="bottom"/>
          </w:tcPr>
          <w:p w14:paraId="4284FED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20 024 703</w:t>
            </w:r>
          </w:p>
        </w:tc>
        <w:tc>
          <w:tcPr>
            <w:tcW w:w="992" w:type="dxa"/>
            <w:shd w:val="clear" w:color="auto" w:fill="FFFFFF"/>
            <w:vAlign w:val="bottom"/>
          </w:tcPr>
          <w:p w14:paraId="033288AF"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15 332 798</w:t>
            </w:r>
          </w:p>
        </w:tc>
      </w:tr>
      <w:tr w:rsidR="008C584A" w:rsidRPr="008C584A" w14:paraId="1EDE2A1B" w14:textId="77777777" w:rsidTr="00547343">
        <w:trPr>
          <w:trHeight w:val="210"/>
        </w:trPr>
        <w:tc>
          <w:tcPr>
            <w:tcW w:w="2198" w:type="dxa"/>
            <w:shd w:val="clear" w:color="auto" w:fill="FFFFFF"/>
            <w:noWrap/>
            <w:vAlign w:val="bottom"/>
          </w:tcPr>
          <w:p w14:paraId="05B28537" w14:textId="77777777" w:rsidR="008C584A" w:rsidRPr="008C584A" w:rsidRDefault="008C584A" w:rsidP="008C584A">
            <w:pPr>
              <w:spacing w:after="0" w:line="240" w:lineRule="auto"/>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INWESTYCJE I INNE WYDATKI MAJĄTKOWE</w:t>
            </w:r>
          </w:p>
        </w:tc>
        <w:tc>
          <w:tcPr>
            <w:tcW w:w="993" w:type="dxa"/>
            <w:shd w:val="clear" w:color="auto" w:fill="FFFFFF"/>
            <w:noWrap/>
            <w:vAlign w:val="bottom"/>
          </w:tcPr>
          <w:p w14:paraId="2CAD42FB"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37 423 606</w:t>
            </w:r>
          </w:p>
        </w:tc>
        <w:tc>
          <w:tcPr>
            <w:tcW w:w="992" w:type="dxa"/>
            <w:shd w:val="clear" w:color="auto" w:fill="FFFFFF"/>
            <w:noWrap/>
            <w:vAlign w:val="bottom"/>
          </w:tcPr>
          <w:p w14:paraId="0DEF7346"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23 979 906</w:t>
            </w:r>
          </w:p>
        </w:tc>
        <w:tc>
          <w:tcPr>
            <w:tcW w:w="992" w:type="dxa"/>
            <w:shd w:val="clear" w:color="auto" w:fill="FFFFFF"/>
            <w:noWrap/>
            <w:vAlign w:val="bottom"/>
          </w:tcPr>
          <w:p w14:paraId="362600F9"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25 307 205</w:t>
            </w:r>
          </w:p>
        </w:tc>
        <w:tc>
          <w:tcPr>
            <w:tcW w:w="992" w:type="dxa"/>
            <w:shd w:val="clear" w:color="auto" w:fill="FFFFFF"/>
            <w:noWrap/>
            <w:vAlign w:val="bottom"/>
          </w:tcPr>
          <w:p w14:paraId="6B00214D"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18 355 242</w:t>
            </w:r>
          </w:p>
        </w:tc>
        <w:tc>
          <w:tcPr>
            <w:tcW w:w="993" w:type="dxa"/>
            <w:shd w:val="clear" w:color="auto" w:fill="FFFFFF"/>
            <w:noWrap/>
            <w:vAlign w:val="bottom"/>
          </w:tcPr>
          <w:p w14:paraId="7F0A86CC"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18 298 767</w:t>
            </w:r>
          </w:p>
        </w:tc>
        <w:tc>
          <w:tcPr>
            <w:tcW w:w="992" w:type="dxa"/>
            <w:shd w:val="clear" w:color="auto" w:fill="FFFFFF"/>
            <w:noWrap/>
            <w:vAlign w:val="bottom"/>
          </w:tcPr>
          <w:p w14:paraId="51E23BD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22 082 889</w:t>
            </w:r>
          </w:p>
        </w:tc>
        <w:tc>
          <w:tcPr>
            <w:tcW w:w="992" w:type="dxa"/>
            <w:shd w:val="clear" w:color="auto" w:fill="FFFFFF"/>
            <w:noWrap/>
            <w:vAlign w:val="bottom"/>
          </w:tcPr>
          <w:p w14:paraId="6F1D969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23 544 204</w:t>
            </w:r>
          </w:p>
        </w:tc>
        <w:tc>
          <w:tcPr>
            <w:tcW w:w="992" w:type="dxa"/>
            <w:shd w:val="clear" w:color="auto" w:fill="FFFFFF"/>
            <w:vAlign w:val="bottom"/>
          </w:tcPr>
          <w:p w14:paraId="5D262A1E"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21 603 635</w:t>
            </w:r>
          </w:p>
        </w:tc>
        <w:tc>
          <w:tcPr>
            <w:tcW w:w="993" w:type="dxa"/>
            <w:shd w:val="clear" w:color="auto" w:fill="FFFFFF"/>
            <w:vAlign w:val="bottom"/>
          </w:tcPr>
          <w:p w14:paraId="1C2A9B0A"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22 697 480</w:t>
            </w:r>
          </w:p>
        </w:tc>
        <w:tc>
          <w:tcPr>
            <w:tcW w:w="1134" w:type="dxa"/>
            <w:shd w:val="clear" w:color="auto" w:fill="FFFFFF"/>
            <w:vAlign w:val="bottom"/>
          </w:tcPr>
          <w:p w14:paraId="298A95D1"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20 024 703</w:t>
            </w:r>
          </w:p>
        </w:tc>
        <w:tc>
          <w:tcPr>
            <w:tcW w:w="992" w:type="dxa"/>
            <w:shd w:val="clear" w:color="auto" w:fill="FFFFFF"/>
            <w:vAlign w:val="bottom"/>
          </w:tcPr>
          <w:p w14:paraId="44A23BD5" w14:textId="77777777" w:rsidR="008C584A" w:rsidRPr="008C584A" w:rsidRDefault="008C584A" w:rsidP="008C584A">
            <w:pPr>
              <w:spacing w:after="0" w:line="240" w:lineRule="auto"/>
              <w:jc w:val="right"/>
              <w:rPr>
                <w:rFonts w:ascii="Times New Roman" w:eastAsia="Times New Roman" w:hAnsi="Times New Roman" w:cs="Times New Roman"/>
                <w:sz w:val="16"/>
                <w:szCs w:val="16"/>
                <w:lang w:eastAsia="pl-PL"/>
              </w:rPr>
            </w:pPr>
            <w:r w:rsidRPr="008C584A">
              <w:rPr>
                <w:rFonts w:ascii="Times New Roman" w:eastAsia="Times New Roman" w:hAnsi="Times New Roman" w:cs="Times New Roman"/>
                <w:sz w:val="16"/>
                <w:szCs w:val="16"/>
                <w:lang w:eastAsia="pl-PL"/>
              </w:rPr>
              <w:t>37 423 606</w:t>
            </w:r>
          </w:p>
        </w:tc>
      </w:tr>
      <w:tr w:rsidR="008C584A" w:rsidRPr="008C584A" w14:paraId="7EDAF177" w14:textId="77777777" w:rsidTr="00547343">
        <w:trPr>
          <w:trHeight w:val="461"/>
        </w:trPr>
        <w:tc>
          <w:tcPr>
            <w:tcW w:w="2198" w:type="dxa"/>
            <w:shd w:val="clear" w:color="auto" w:fill="FFFFFF"/>
            <w:noWrap/>
            <w:vAlign w:val="bottom"/>
          </w:tcPr>
          <w:p w14:paraId="4C020B79" w14:textId="77777777" w:rsidR="008C584A" w:rsidRPr="008C584A" w:rsidRDefault="008C584A" w:rsidP="008C584A">
            <w:pPr>
              <w:spacing w:after="0" w:line="240" w:lineRule="auto"/>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Roczne przepływy gotówki netto</w:t>
            </w:r>
          </w:p>
        </w:tc>
        <w:tc>
          <w:tcPr>
            <w:tcW w:w="993" w:type="dxa"/>
            <w:shd w:val="clear" w:color="auto" w:fill="FFFFFF"/>
            <w:noWrap/>
            <w:vAlign w:val="bottom"/>
          </w:tcPr>
          <w:p w14:paraId="057F0D9B"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-22 090 808</w:t>
            </w:r>
          </w:p>
        </w:tc>
        <w:tc>
          <w:tcPr>
            <w:tcW w:w="992" w:type="dxa"/>
            <w:shd w:val="clear" w:color="auto" w:fill="FFFFFF"/>
            <w:noWrap/>
            <w:vAlign w:val="bottom"/>
          </w:tcPr>
          <w:p w14:paraId="7639B551"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40 008</w:t>
            </w:r>
          </w:p>
        </w:tc>
        <w:tc>
          <w:tcPr>
            <w:tcW w:w="992" w:type="dxa"/>
            <w:shd w:val="clear" w:color="auto" w:fill="FFFFFF"/>
            <w:noWrap/>
            <w:vAlign w:val="bottom"/>
          </w:tcPr>
          <w:p w14:paraId="1EEDE59B"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-2 000 000</w:t>
            </w:r>
          </w:p>
        </w:tc>
        <w:tc>
          <w:tcPr>
            <w:tcW w:w="992" w:type="dxa"/>
            <w:shd w:val="clear" w:color="auto" w:fill="FFFFFF"/>
            <w:noWrap/>
            <w:vAlign w:val="bottom"/>
          </w:tcPr>
          <w:p w14:paraId="278E247B"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600 000</w:t>
            </w:r>
          </w:p>
        </w:tc>
        <w:tc>
          <w:tcPr>
            <w:tcW w:w="993" w:type="dxa"/>
            <w:shd w:val="clear" w:color="auto" w:fill="FFFFFF"/>
            <w:noWrap/>
            <w:vAlign w:val="bottom"/>
          </w:tcPr>
          <w:p w14:paraId="131A4CDE"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992" w:type="dxa"/>
            <w:shd w:val="clear" w:color="auto" w:fill="FFFFFF"/>
            <w:noWrap/>
            <w:vAlign w:val="bottom"/>
          </w:tcPr>
          <w:p w14:paraId="73038D61"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992" w:type="dxa"/>
            <w:shd w:val="clear" w:color="auto" w:fill="FFFFFF"/>
            <w:noWrap/>
            <w:vAlign w:val="bottom"/>
          </w:tcPr>
          <w:p w14:paraId="6A53ACEF"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992" w:type="dxa"/>
            <w:shd w:val="clear" w:color="auto" w:fill="FFFFFF"/>
            <w:vAlign w:val="bottom"/>
          </w:tcPr>
          <w:p w14:paraId="271E3FD7"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993" w:type="dxa"/>
            <w:shd w:val="clear" w:color="auto" w:fill="FFFFFF"/>
            <w:vAlign w:val="bottom"/>
          </w:tcPr>
          <w:p w14:paraId="4E83EDFA"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1134" w:type="dxa"/>
            <w:shd w:val="clear" w:color="auto" w:fill="FFFFFF"/>
            <w:vAlign w:val="bottom"/>
          </w:tcPr>
          <w:p w14:paraId="364D659D"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0</w:t>
            </w:r>
          </w:p>
        </w:tc>
        <w:tc>
          <w:tcPr>
            <w:tcW w:w="992" w:type="dxa"/>
            <w:shd w:val="clear" w:color="auto" w:fill="FFFFFF"/>
            <w:vAlign w:val="bottom"/>
          </w:tcPr>
          <w:p w14:paraId="5240110D" w14:textId="77777777" w:rsidR="008C584A" w:rsidRPr="008C584A" w:rsidRDefault="008C584A" w:rsidP="008C584A">
            <w:pPr>
              <w:spacing w:after="0" w:line="240" w:lineRule="auto"/>
              <w:jc w:val="right"/>
              <w:rPr>
                <w:rFonts w:ascii="Times New Roman" w:eastAsia="Times New Roman" w:hAnsi="Times New Roman" w:cs="Times New Roman"/>
                <w:color w:val="FF0000"/>
                <w:sz w:val="16"/>
                <w:szCs w:val="16"/>
                <w:lang w:eastAsia="pl-PL"/>
              </w:rPr>
            </w:pPr>
            <w:r w:rsidRPr="008C584A">
              <w:rPr>
                <w:rFonts w:ascii="Times New Roman" w:eastAsia="Times New Roman" w:hAnsi="Times New Roman" w:cs="Times New Roman"/>
                <w:color w:val="FF0000"/>
                <w:sz w:val="16"/>
                <w:szCs w:val="16"/>
                <w:lang w:eastAsia="pl-PL"/>
              </w:rPr>
              <w:t>-22 090 808</w:t>
            </w:r>
          </w:p>
        </w:tc>
      </w:tr>
      <w:tr w:rsidR="008C584A" w:rsidRPr="008C584A" w14:paraId="51855EB1" w14:textId="77777777" w:rsidTr="00547343">
        <w:trPr>
          <w:trHeight w:val="210"/>
        </w:trPr>
        <w:tc>
          <w:tcPr>
            <w:tcW w:w="2198" w:type="dxa"/>
            <w:shd w:val="clear" w:color="auto" w:fill="FFFF99"/>
            <w:noWrap/>
            <w:vAlign w:val="bottom"/>
          </w:tcPr>
          <w:p w14:paraId="306E68F4" w14:textId="77777777" w:rsidR="008C584A" w:rsidRPr="008C584A" w:rsidRDefault="008C584A" w:rsidP="008C584A">
            <w:pPr>
              <w:spacing w:after="0" w:line="240" w:lineRule="auto"/>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Wolne środki na koniec roku</w:t>
            </w:r>
          </w:p>
        </w:tc>
        <w:tc>
          <w:tcPr>
            <w:tcW w:w="993" w:type="dxa"/>
            <w:shd w:val="clear" w:color="auto" w:fill="FFFF99"/>
            <w:noWrap/>
            <w:vAlign w:val="bottom"/>
          </w:tcPr>
          <w:p w14:paraId="16BD22E6"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2 325 909</w:t>
            </w:r>
          </w:p>
        </w:tc>
        <w:tc>
          <w:tcPr>
            <w:tcW w:w="992" w:type="dxa"/>
            <w:shd w:val="clear" w:color="auto" w:fill="FFFF99"/>
            <w:noWrap/>
            <w:vAlign w:val="bottom"/>
          </w:tcPr>
          <w:p w14:paraId="70F08541"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2 365 917</w:t>
            </w:r>
          </w:p>
        </w:tc>
        <w:tc>
          <w:tcPr>
            <w:tcW w:w="992" w:type="dxa"/>
            <w:shd w:val="clear" w:color="auto" w:fill="FFFF99"/>
            <w:noWrap/>
            <w:vAlign w:val="bottom"/>
          </w:tcPr>
          <w:p w14:paraId="5634F530"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365 917</w:t>
            </w:r>
          </w:p>
        </w:tc>
        <w:tc>
          <w:tcPr>
            <w:tcW w:w="992" w:type="dxa"/>
            <w:shd w:val="clear" w:color="auto" w:fill="FFFF99"/>
            <w:noWrap/>
            <w:vAlign w:val="bottom"/>
          </w:tcPr>
          <w:p w14:paraId="48AF25E7"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965 917</w:t>
            </w:r>
          </w:p>
        </w:tc>
        <w:tc>
          <w:tcPr>
            <w:tcW w:w="993" w:type="dxa"/>
            <w:shd w:val="clear" w:color="auto" w:fill="FFFF99"/>
            <w:noWrap/>
            <w:vAlign w:val="bottom"/>
          </w:tcPr>
          <w:p w14:paraId="024DE53D"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965 917</w:t>
            </w:r>
          </w:p>
        </w:tc>
        <w:tc>
          <w:tcPr>
            <w:tcW w:w="992" w:type="dxa"/>
            <w:shd w:val="clear" w:color="auto" w:fill="FFFF99"/>
            <w:noWrap/>
            <w:vAlign w:val="bottom"/>
          </w:tcPr>
          <w:p w14:paraId="0160123B"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965 917</w:t>
            </w:r>
          </w:p>
        </w:tc>
        <w:tc>
          <w:tcPr>
            <w:tcW w:w="992" w:type="dxa"/>
            <w:shd w:val="clear" w:color="auto" w:fill="FFFF99"/>
            <w:noWrap/>
            <w:vAlign w:val="bottom"/>
          </w:tcPr>
          <w:p w14:paraId="5DA81655"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965 917</w:t>
            </w:r>
          </w:p>
        </w:tc>
        <w:tc>
          <w:tcPr>
            <w:tcW w:w="992" w:type="dxa"/>
            <w:shd w:val="clear" w:color="auto" w:fill="FFFF99"/>
            <w:vAlign w:val="bottom"/>
          </w:tcPr>
          <w:p w14:paraId="146DB4DC"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123 620</w:t>
            </w:r>
          </w:p>
        </w:tc>
        <w:tc>
          <w:tcPr>
            <w:tcW w:w="993" w:type="dxa"/>
            <w:shd w:val="clear" w:color="auto" w:fill="FFFF99"/>
            <w:vAlign w:val="bottom"/>
          </w:tcPr>
          <w:p w14:paraId="4FC01790"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123 620</w:t>
            </w:r>
          </w:p>
        </w:tc>
        <w:tc>
          <w:tcPr>
            <w:tcW w:w="1134" w:type="dxa"/>
            <w:shd w:val="clear" w:color="auto" w:fill="FFFF99"/>
            <w:vAlign w:val="bottom"/>
          </w:tcPr>
          <w:p w14:paraId="1754DFA2"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123 620</w:t>
            </w:r>
          </w:p>
        </w:tc>
        <w:tc>
          <w:tcPr>
            <w:tcW w:w="992" w:type="dxa"/>
            <w:shd w:val="clear" w:color="auto" w:fill="FFFF99"/>
            <w:vAlign w:val="bottom"/>
          </w:tcPr>
          <w:p w14:paraId="2E14080B" w14:textId="77777777" w:rsidR="008C584A" w:rsidRPr="008C584A" w:rsidRDefault="008C584A" w:rsidP="008C584A">
            <w:pPr>
              <w:spacing w:after="0" w:line="240" w:lineRule="auto"/>
              <w:jc w:val="right"/>
              <w:rPr>
                <w:rFonts w:ascii="Times New Roman" w:eastAsia="Times New Roman" w:hAnsi="Times New Roman" w:cs="Times New Roman"/>
                <w:color w:val="0000FF"/>
                <w:sz w:val="16"/>
                <w:szCs w:val="16"/>
                <w:lang w:eastAsia="pl-PL"/>
              </w:rPr>
            </w:pPr>
            <w:r w:rsidRPr="008C584A">
              <w:rPr>
                <w:rFonts w:ascii="Times New Roman" w:eastAsia="Times New Roman" w:hAnsi="Times New Roman" w:cs="Times New Roman"/>
                <w:color w:val="0000FF"/>
                <w:sz w:val="16"/>
                <w:szCs w:val="16"/>
                <w:lang w:eastAsia="pl-PL"/>
              </w:rPr>
              <w:t>2 325 909</w:t>
            </w:r>
          </w:p>
        </w:tc>
      </w:tr>
    </w:tbl>
    <w:p w14:paraId="048E9E32" w14:textId="77777777" w:rsidR="008C584A" w:rsidRPr="008C584A" w:rsidRDefault="008C584A" w:rsidP="008C584A">
      <w:pPr>
        <w:tabs>
          <w:tab w:val="left" w:pos="0"/>
          <w:tab w:val="left" w:pos="9936"/>
          <w:tab w:val="left" w:pos="10080"/>
        </w:tabs>
        <w:spacing w:after="0" w:line="288" w:lineRule="auto"/>
        <w:jc w:val="both"/>
        <w:rPr>
          <w:rFonts w:ascii="Times New Roman" w:eastAsia="Times New Roman" w:hAnsi="Times New Roman" w:cs="Times New Roman"/>
          <w:sz w:val="20"/>
          <w:szCs w:val="20"/>
          <w:lang w:eastAsia="pl-PL"/>
        </w:rPr>
        <w:sectPr w:rsidR="008C584A" w:rsidRPr="008C584A" w:rsidSect="00ED76B0">
          <w:footerReference w:type="even" r:id="rId40"/>
          <w:footerReference w:type="default" r:id="rId41"/>
          <w:pgSz w:w="16838" w:h="11906" w:orient="landscape"/>
          <w:pgMar w:top="1418" w:right="1418" w:bottom="1418" w:left="1418" w:header="709" w:footer="709" w:gutter="0"/>
          <w:cols w:space="708"/>
          <w:docGrid w:linePitch="360"/>
        </w:sectPr>
      </w:pPr>
      <w:r w:rsidRPr="008C584A">
        <w:rPr>
          <w:rFonts w:ascii="Times New Roman" w:eastAsia="Times New Roman" w:hAnsi="Times New Roman" w:cs="Times New Roman"/>
          <w:sz w:val="20"/>
          <w:szCs w:val="20"/>
          <w:lang w:eastAsia="pl-PL"/>
        </w:rPr>
        <w:t>Źródło: opracowanie  autorów na podstawie Wieloletniej prognozy finansowej gminy Góra Kalwaria  - stan na 26.10.2022 r.</w:t>
      </w:r>
    </w:p>
    <w:p w14:paraId="31EB3A0B" w14:textId="6AD21824" w:rsidR="008C584A" w:rsidRPr="001F5B8B" w:rsidRDefault="001F5B8B" w:rsidP="008C584A">
      <w:pPr>
        <w:tabs>
          <w:tab w:val="left" w:pos="0"/>
          <w:tab w:val="left" w:pos="9936"/>
          <w:tab w:val="left" w:pos="10080"/>
        </w:tabs>
        <w:spacing w:after="0" w:line="288" w:lineRule="auto"/>
        <w:jc w:val="both"/>
        <w:rPr>
          <w:rFonts w:ascii="Times New Roman" w:eastAsia="Times New Roman" w:hAnsi="Times New Roman" w:cs="Times New Roman"/>
          <w:bCs/>
          <w:sz w:val="24"/>
          <w:szCs w:val="20"/>
          <w:lang w:eastAsia="pl-PL"/>
        </w:rPr>
      </w:pPr>
      <w:bookmarkStart w:id="66" w:name="_Hlk119637142"/>
      <w:r w:rsidRPr="001F5B8B">
        <w:rPr>
          <w:rFonts w:ascii="Times New Roman" w:eastAsia="Times New Roman" w:hAnsi="Times New Roman" w:cs="Times New Roman"/>
          <w:bCs/>
          <w:sz w:val="24"/>
          <w:szCs w:val="20"/>
          <w:lang w:eastAsia="pl-PL"/>
        </w:rPr>
        <w:lastRenderedPageBreak/>
        <w:t>Ryc. 15.</w:t>
      </w:r>
      <w:r w:rsidR="008C584A" w:rsidRPr="001F5B8B">
        <w:rPr>
          <w:rFonts w:ascii="Times New Roman" w:eastAsia="Times New Roman" w:hAnsi="Times New Roman" w:cs="Times New Roman"/>
          <w:bCs/>
          <w:sz w:val="24"/>
          <w:szCs w:val="20"/>
          <w:lang w:eastAsia="pl-PL"/>
        </w:rPr>
        <w:t xml:space="preserve"> Prognozowane przepływy finansowe gminy Góra Kalwaria – zgodnie z Wieloletnia Prognozą Finansową</w:t>
      </w:r>
    </w:p>
    <w:bookmarkEnd w:id="66"/>
    <w:p w14:paraId="281E8B8B" w14:textId="77777777" w:rsidR="008C584A" w:rsidRPr="008C584A" w:rsidRDefault="008C584A" w:rsidP="008C584A">
      <w:pPr>
        <w:tabs>
          <w:tab w:val="left" w:pos="0"/>
          <w:tab w:val="left" w:pos="9936"/>
          <w:tab w:val="left" w:pos="10080"/>
        </w:tabs>
        <w:spacing w:after="0" w:line="288" w:lineRule="auto"/>
        <w:jc w:val="both"/>
        <w:rPr>
          <w:rFonts w:ascii="Times New Roman" w:eastAsia="Times New Roman" w:hAnsi="Times New Roman" w:cs="Times New Roman"/>
          <w:i/>
          <w:iCs/>
          <w:sz w:val="24"/>
          <w:szCs w:val="20"/>
          <w:lang w:eastAsia="pl-PL"/>
        </w:rPr>
      </w:pPr>
      <w:r w:rsidRPr="008C584A">
        <w:rPr>
          <w:rFonts w:ascii="Times New Roman" w:eastAsia="Times New Roman" w:hAnsi="Times New Roman" w:cs="Times New Roman"/>
          <w:noProof/>
          <w:sz w:val="24"/>
          <w:szCs w:val="20"/>
          <w:lang w:eastAsia="pl-PL"/>
        </w:rPr>
        <w:drawing>
          <wp:inline distT="0" distB="0" distL="0" distR="0" wp14:anchorId="161DE901" wp14:editId="14809B77">
            <wp:extent cx="8891270" cy="4192905"/>
            <wp:effectExtent l="0" t="0" r="5080" b="17145"/>
            <wp:docPr id="6" name="Wykres 6">
              <a:extLst xmlns:a="http://schemas.openxmlformats.org/drawingml/2006/main">
                <a:ext uri="{FF2B5EF4-FFF2-40B4-BE49-F238E27FC236}">
                  <a16:creationId xmlns:a16="http://schemas.microsoft.com/office/drawing/2014/main" id="{25F80BD1-E77D-C838-D0FA-A9F99A7015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6DC1B47" w14:textId="77777777" w:rsidR="008C584A" w:rsidRPr="008C584A" w:rsidRDefault="008C584A" w:rsidP="008C584A">
      <w:pPr>
        <w:tabs>
          <w:tab w:val="left" w:pos="0"/>
          <w:tab w:val="left" w:pos="9936"/>
          <w:tab w:val="left" w:pos="10080"/>
        </w:tabs>
        <w:spacing w:after="0" w:line="288" w:lineRule="auto"/>
        <w:jc w:val="both"/>
        <w:rPr>
          <w:rFonts w:ascii="Times New Roman" w:eastAsia="Times New Roman" w:hAnsi="Times New Roman" w:cs="Times New Roman"/>
          <w:sz w:val="20"/>
          <w:szCs w:val="20"/>
          <w:lang w:eastAsia="pl-PL"/>
        </w:rPr>
        <w:sectPr w:rsidR="008C584A" w:rsidRPr="008C584A" w:rsidSect="00ED76B0">
          <w:footerReference w:type="even" r:id="rId43"/>
          <w:footerReference w:type="default" r:id="rId44"/>
          <w:pgSz w:w="16838" w:h="11906" w:orient="landscape"/>
          <w:pgMar w:top="1418" w:right="1418" w:bottom="1418" w:left="1418" w:header="709" w:footer="709" w:gutter="0"/>
          <w:cols w:space="708"/>
          <w:docGrid w:linePitch="360"/>
        </w:sectPr>
      </w:pPr>
      <w:r w:rsidRPr="008C584A">
        <w:rPr>
          <w:rFonts w:ascii="Times New Roman" w:eastAsia="Times New Roman" w:hAnsi="Times New Roman" w:cs="Times New Roman"/>
          <w:sz w:val="20"/>
          <w:szCs w:val="20"/>
          <w:lang w:eastAsia="pl-PL"/>
        </w:rPr>
        <w:t>Źródło: opracowanie  autorów na podstawie Wieloletniej prognozy finansowej gminy Góra Kalwaria  - stan na 26.10.2022 r.</w:t>
      </w:r>
    </w:p>
    <w:p w14:paraId="350F4D15" w14:textId="77777777" w:rsidR="008C584A" w:rsidRPr="008C584A" w:rsidRDefault="008C584A" w:rsidP="006B6EE8">
      <w:pPr>
        <w:tabs>
          <w:tab w:val="left" w:pos="360"/>
        </w:tabs>
        <w:spacing w:line="276" w:lineRule="auto"/>
        <w:ind w:firstLine="357"/>
        <w:jc w:val="both"/>
        <w:rPr>
          <w:rFonts w:ascii="Times New Roman" w:eastAsia="Calibri" w:hAnsi="Times New Roman" w:cs="Times New Roman"/>
          <w:b/>
          <w:bCs/>
          <w:sz w:val="24"/>
          <w:szCs w:val="24"/>
        </w:rPr>
      </w:pPr>
      <w:r w:rsidRPr="008C584A">
        <w:rPr>
          <w:rFonts w:ascii="Times New Roman" w:eastAsia="Calibri" w:hAnsi="Times New Roman" w:cs="Times New Roman"/>
          <w:b/>
          <w:bCs/>
          <w:sz w:val="24"/>
          <w:szCs w:val="24"/>
        </w:rPr>
        <w:lastRenderedPageBreak/>
        <w:t xml:space="preserve">Potencjalne źródła finansowania inwestycji </w:t>
      </w:r>
    </w:p>
    <w:p w14:paraId="270CF3C0"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Zdolność gmin do inwestowania zależy od wielkości i struktury dochodów budżetowych, poziomu i struktury wydatków, relacji pomiędzy poszczególnymi strumieniami pieniężnymi i ich wartościami wynikowymi, takimi jak: dochody ogółem, wydatki bieżące i majątkowe, nadwyżka operacyjna, wolne środki na rachunkach bankowych, wielkość zadłużenia. </w:t>
      </w:r>
    </w:p>
    <w:p w14:paraId="36EFCD6A" w14:textId="77777777" w:rsidR="008C584A" w:rsidRPr="008C584A" w:rsidRDefault="008C584A" w:rsidP="006B6EE8">
      <w:pPr>
        <w:spacing w:after="0" w:line="276" w:lineRule="auto"/>
        <w:ind w:firstLine="340"/>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Podjęcie decyzji o realizacji inwestycji komunalnych wymaga przygotowania długookresowej strategii finansowej, w szczególności:  </w:t>
      </w:r>
    </w:p>
    <w:p w14:paraId="28A82BFC" w14:textId="77777777" w:rsidR="008C584A" w:rsidRPr="008C584A" w:rsidRDefault="008C584A" w:rsidP="006B6EE8">
      <w:pPr>
        <w:numPr>
          <w:ilvl w:val="0"/>
          <w:numId w:val="99"/>
        </w:numPr>
        <w:spacing w:after="0" w:line="276" w:lineRule="auto"/>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precyzyjnego określenia źródeł ich finansowania;</w:t>
      </w:r>
    </w:p>
    <w:p w14:paraId="56AC192B" w14:textId="77777777" w:rsidR="008C584A" w:rsidRPr="008C584A" w:rsidRDefault="008C584A" w:rsidP="006B6EE8">
      <w:pPr>
        <w:numPr>
          <w:ilvl w:val="0"/>
          <w:numId w:val="99"/>
        </w:numPr>
        <w:spacing w:after="0" w:line="276" w:lineRule="auto"/>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ustalenia środków koniecznych dla wykonania poszczególnych etapów; </w:t>
      </w:r>
    </w:p>
    <w:p w14:paraId="234E706C" w14:textId="77777777" w:rsidR="008C584A" w:rsidRPr="008C584A" w:rsidRDefault="008C584A" w:rsidP="006B6EE8">
      <w:pPr>
        <w:numPr>
          <w:ilvl w:val="0"/>
          <w:numId w:val="99"/>
        </w:numPr>
        <w:spacing w:after="0" w:line="276" w:lineRule="auto"/>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zapewnienia w budżecie odpowiednich kwot udziału własnego;</w:t>
      </w:r>
    </w:p>
    <w:p w14:paraId="133BA4FF" w14:textId="77777777" w:rsidR="008C584A" w:rsidRPr="008C584A" w:rsidRDefault="008C584A" w:rsidP="006B6EE8">
      <w:pPr>
        <w:numPr>
          <w:ilvl w:val="0"/>
          <w:numId w:val="99"/>
        </w:numPr>
        <w:spacing w:after="0" w:line="276" w:lineRule="auto"/>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zapewnienie płynności finansowej na każdym etapie i w każdej fazie projektu inwestycyjnego. </w:t>
      </w:r>
    </w:p>
    <w:p w14:paraId="7235823B"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Podstawą realizacji projektów inwestycyjnych są własne środki budżetowe. Ich wydajność decyduje o możliwości zastosowania innych – uzupełniających źródeł finansowania. Stanowią je przede wszystkim dochody własne, pozostające do swobodnej dyspozycji władz gminy. Gospodarka finansowa prowadzona na bazie dochodów własnych, tworzy warunki budowy wiarygodnych prognoz finansowych oraz tworzenia alternatywnych scenariuszy finansowania inwestycji. </w:t>
      </w:r>
    </w:p>
    <w:p w14:paraId="09D20919"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Ważnym pojęciem jest potencja inwestycyjny, rozumiany jako zasób środków, które gmina może przeznaczyć na finansowanie zadań rozwojowych, przy założeniu, wykonania wszystkich bieżące zadania, dokonania niezbędnej wymiany sprzętu oraz utrzymania bezpiecznego poziomu zadłużenia. Podstawowe znaczenie ma tu zdolność do generowania nadwyżki operacyjnej, stanowiącej podstawę montażu finansowego zadań inwestycyjnych.  </w:t>
      </w:r>
    </w:p>
    <w:p w14:paraId="59B3BAB4"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Zgodnie z Wieloletnią prognoza Finansową Gminy Góra Kalwaria, aktualizowana na dzień 22.10.2022 roku gmina będzie w stanie wygospodarować nadwyżkę operacyjną w każdym prognozowanym roku okresu 2022-2031. Jej wielkość w kolejnych latach wyniesie: 2023 r. – 3,9 mln zł; 2024 r. – 4,1 mln zł; 2025 r. – 4,0 mln zł; 2026 r. – 4,0 mln zł; 2027 r. – 4,0 mln zł; 2028 r. – 3,6 mln zł; 2029 r. – 3,3 mln zł; 2030 r. – 3,3 mln zł; 2031 – 3,6 mln zł.</w:t>
      </w:r>
    </w:p>
    <w:p w14:paraId="5F0E7530"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W procesie finansowania inwestycji gmina Góra Kalwaria zamierza wykorzystać środki pochodzące ze sprzedaży majątku komunalnego. W prognozowanym okresie  wielkość środków pozyskiwanych z tego tytułu wyniesie: 2023 r. – 4,7 mln zł; 2024 r. – 3,6 mln zł; 2025 r. – 3,5 mln zł; 2026 r. – 3,5 mln zł; 2027 r. – 2,5 mln zł; 2028 r. – 2,5 mln zł. </w:t>
      </w:r>
    </w:p>
    <w:p w14:paraId="48B29E8F" w14:textId="77777777" w:rsidR="008C584A" w:rsidRPr="008C584A" w:rsidRDefault="008C584A" w:rsidP="006B6EE8">
      <w:pPr>
        <w:spacing w:after="0" w:line="276" w:lineRule="auto"/>
        <w:ind w:firstLine="357"/>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Prognozowany własny potencjał finansowy Gminy Góra Kalwaria stanowi podstawę pozyskiwania zewnętrznych źródeł finansowania. Należą do nich:</w:t>
      </w:r>
    </w:p>
    <w:p w14:paraId="0779B1EA" w14:textId="77777777" w:rsidR="008C584A" w:rsidRPr="008C584A" w:rsidRDefault="008C584A" w:rsidP="006B6EE8">
      <w:pPr>
        <w:numPr>
          <w:ilvl w:val="0"/>
          <w:numId w:val="100"/>
        </w:numPr>
        <w:spacing w:after="0" w:line="276" w:lineRule="auto"/>
        <w:contextualSpacing/>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środki o charakterze bezzwrotnym, wśród nich dotacje krajowe, dotacje unijne i inne środki zagraniczne niepodlegające zwrotowi,</w:t>
      </w:r>
    </w:p>
    <w:p w14:paraId="62AB08F1" w14:textId="77777777" w:rsidR="008C584A" w:rsidRPr="008C584A" w:rsidRDefault="008C584A" w:rsidP="006B6EE8">
      <w:pPr>
        <w:numPr>
          <w:ilvl w:val="0"/>
          <w:numId w:val="100"/>
        </w:numPr>
        <w:spacing w:after="0" w:line="276" w:lineRule="auto"/>
        <w:contextualSpacing/>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instrumenty rynku dłużnego – w tym: pożyczki, kredyty bankowe oraz obligacje komunalne;</w:t>
      </w:r>
    </w:p>
    <w:p w14:paraId="5682E276" w14:textId="77777777" w:rsidR="008C584A" w:rsidRPr="008C584A" w:rsidRDefault="008C584A" w:rsidP="006B6EE8">
      <w:pPr>
        <w:numPr>
          <w:ilvl w:val="0"/>
          <w:numId w:val="100"/>
        </w:numPr>
        <w:spacing w:after="0" w:line="276" w:lineRule="auto"/>
        <w:contextualSpacing/>
        <w:jc w:val="both"/>
        <w:rPr>
          <w:rFonts w:ascii="Times New Roman" w:eastAsia="Times New Roman" w:hAnsi="Times New Roman" w:cs="Times New Roman"/>
          <w:sz w:val="24"/>
          <w:szCs w:val="24"/>
          <w:lang w:eastAsia="pl-PL"/>
        </w:rPr>
      </w:pPr>
      <w:r w:rsidRPr="008C584A">
        <w:rPr>
          <w:rFonts w:ascii="Times New Roman" w:eastAsia="Times New Roman" w:hAnsi="Times New Roman" w:cs="Times New Roman"/>
          <w:sz w:val="24"/>
          <w:szCs w:val="24"/>
          <w:lang w:eastAsia="pl-PL"/>
        </w:rPr>
        <w:t xml:space="preserve">formy alternatywne , takie jak partnerstwo publiczno-prywatne, </w:t>
      </w:r>
      <w:r w:rsidRPr="008C584A">
        <w:rPr>
          <w:rFonts w:ascii="Times New Roman" w:eastAsia="Calibri" w:hAnsi="Times New Roman" w:cs="Times New Roman"/>
          <w:sz w:val="24"/>
          <w:szCs w:val="24"/>
        </w:rPr>
        <w:t>leasing i umowy o podobnym charakterze oraz faktoring.</w:t>
      </w:r>
    </w:p>
    <w:p w14:paraId="7636ABB2" w14:textId="77777777" w:rsidR="008C584A" w:rsidRPr="008C584A" w:rsidRDefault="008C584A" w:rsidP="006B6EE8">
      <w:pPr>
        <w:spacing w:after="0" w:line="276" w:lineRule="auto"/>
        <w:ind w:firstLine="340"/>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W Wieloletniej prognozie finansowej gminy Góra Kalwaria zakłada się pozyskiwanie bezzwrotnych źródeł finansowania w postaci dotacji unijnych. Wg stanu na październik 2022 r. władze lokalne planują uzyskać z tego tytułu środki w następującej wysokości: 2022 r. – 3,2 </w:t>
      </w:r>
      <w:r w:rsidRPr="008C584A">
        <w:rPr>
          <w:rFonts w:ascii="Times New Roman" w:eastAsia="Calibri" w:hAnsi="Times New Roman" w:cs="Times New Roman"/>
          <w:sz w:val="24"/>
          <w:szCs w:val="24"/>
        </w:rPr>
        <w:lastRenderedPageBreak/>
        <w:t>mln zł i 2023 r. 5,2 mln zł. W związku z opóźnieniami w przygotowaniu konkursów perspektywy finansowej obejmującej lata 2021-2027 oraz brak obowiązujących programów operacyjnych, nie zaplanowano jeszcze środków z tego tytułu na kolejne lata. Gmina Góra Kalwaria w całym okresie programowania zachowuje zdolność do pozyskiwania bezzwrotnych dotacji unijnych. Zakładając średnie dofinansowanie projektu na poziomie 50%, szacowana wartość dofinansowania inwestycji środkami unijnymi może wynieść: 2024 r. – 8,2 mln zł; 2025 r. – 8,0 mln zł; 2026 r. – 8,0 mln zł; 2027 r. – 8,0 mln zł; 2028 r. – 7,2 mln zł; 2029 r. – 6,6 mln zł; 2030 r. – 6,6 mln zł; 2031 r. – 7,2 mln zł. Alokacja środków z Unii Europejskiej na lata 2021-2027 ma na celu wyrównywanie różnic rozwoju społeczno-gospodarczego i niwelowanie różnić warunków życia w poszczególnych regionach Wspólnoty. Dzięki projektom współfinansowanym z nowego budżetu UE będzie można osiągnąć lepszy dostęp do infrastruktury: transportu, energetyki, środowiska, zdrowia czy kultury.</w:t>
      </w:r>
    </w:p>
    <w:p w14:paraId="2A65BBE9" w14:textId="77777777" w:rsidR="008C584A" w:rsidRPr="008C584A" w:rsidRDefault="008C584A" w:rsidP="006B6EE8">
      <w:pPr>
        <w:spacing w:after="0" w:line="276" w:lineRule="auto"/>
        <w:ind w:firstLine="340"/>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Gmina Góra Kalwaria może także ubiegać się o bezzwrotne dofinansowanie projektów ze źródeł krajowych. Mogą być to środki z rządowych/centralnych programów wsparcia kierowanych do jednostek samorządu terytorialnego, środków pozyskiwanych z funduszy celowych np. Narodowego i Wojewódzkich Funduszy Ochrony Środowiska i Gospodarki Wodnej – na projekty służące poprawie stanu środowiska naturalnego. Możliwe jest także pozyskiwanie dotacji z innych jednostek samorządu terytorialnego, na podstawie  zawartych porozumień. </w:t>
      </w:r>
    </w:p>
    <w:p w14:paraId="1BE69105" w14:textId="77777777" w:rsidR="008C584A" w:rsidRPr="008C584A" w:rsidRDefault="008C584A" w:rsidP="006B6EE8">
      <w:pPr>
        <w:tabs>
          <w:tab w:val="left" w:pos="360"/>
        </w:tabs>
        <w:spacing w:after="0" w:line="276" w:lineRule="auto"/>
        <w:ind w:firstLine="357"/>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Zakłada się, ze latach 2022-2031 źródłem finansowania inwestycji będą także instrumenty rynku dłużnego. Wśród korzyści zaciągania długu należy w pierwszej kolejności wymienić pozyskanie zasobów kapitału na finansowanie projektów rozwojowych w wartościach przekraczających własny  potencjał budżetowy. Rozsądna alokacja tak pozyskanych środków tworzy szansę przyspieszenia procesów rozwoju lokalnego oraz wzmocnienia lokalnej bazy ekonomicznej. Korzystanie z instrumentów rynku dłużnego stawia przed władzami lokalnymi wyzwanie znajomości zasad funkcjonowania rynku kapitałowego, specyfiki poszczególnych instrumentów finansowych, a także umiejętności planowania i prognozowania budżetu. Celem prowadzonej tu polityki jest optymalizacja kosztów pozyskiwania długu oraz zapewnienie długookresowej zdolności kredytowej i płynności finansowej. Zadłużenie gminy Góra Kalwaria w 2022 r. wynosi 33,8 mln zł. W kolejnych latach zakłada się jego stopniową redukcję – do następujących wartości: 2023 r. – 29,9 mln zł; 2024 r. – 25,8 mln zł; 2025 r. – 21,8 mln zł; 2026 r. – 17,8 mln zł; 2027 r. – 13,8 mln zł; 2028 r. – 10,2 mln zł; 2029 r. – 6,9 mln zł; 2030 r. – 3,6 mln zł; 2031 – 0 zł. Zgodnie z regulacjami ustawy o finansach publicznych dopuszczalny poziom indywidulanego wskaźnika zadłużenia Gminy Góra Kalwaria, obliczonego wg stanu na koniec 3 kwartału 2022 r., w kolejnych latach prognozowanego okresu wyniesie: 2022 r.- 12,41%; 2023 r. – 8,72%; 2024 r. – 8,49 %; 2025 r. – 8,50 %; 2026 r. – 5,74%; 2027 r. – 6,52 %; 2028 r. – 8,02 %; 2029 r. – 10,39 %; 2030 r. – 12,82 %; 2031 – 13,37%.  Zgodnie z Wieloletnią prognozą finansową gminy, we wszystkich latach okresu 2022-2031, faktyczny wskaźnik zadłużenie nie przekroczy wartości dopuszczalnych, właściwa relacja wyznaczona przepisami ustawy o finansach publicznych zostanie wiec spełniona. Bezpieczny poziom zachowuje także relacja długu do dochodów ogółem.  W prognozowanym okresie wyniesie ona: 2022 r.- 18,13%; 2023 r. – 19,22%; 2024 r. – 16,11%; 2025 r. – 13,79%; 2026 r. – 10,87%; 2027 r. – 8,08%; 2028 r. – 5,78%; 2029 r. – 3,80%; 2030 r. – 1,89%; 2031 – 0,00%. Wielkość zapotrzebowania na instrumenty rynku dłużnego będzie wynika z wielkości </w:t>
      </w:r>
      <w:r w:rsidRPr="008C584A">
        <w:rPr>
          <w:rFonts w:ascii="Times New Roman" w:eastAsia="Calibri" w:hAnsi="Times New Roman" w:cs="Times New Roman"/>
          <w:sz w:val="24"/>
          <w:szCs w:val="24"/>
        </w:rPr>
        <w:lastRenderedPageBreak/>
        <w:t xml:space="preserve">planowanych  zadań inwestycyjnych, możliwości generowania własnego potencjału rozwojowego oraz pozyskiwania bezzwrotnych źródeł finansowania projektów. Mając na uwadze omówiony powyżej poziom długu oraz wartości wskaźników zadłużenia można stwierdzić, że gmina Góra Kalwaria w prognozowanym okresie zachowuje zdolność do zaciągania nowych zobowiązań dłużnych (stosownie do posiadanego własnego potencjału finansowego). </w:t>
      </w:r>
    </w:p>
    <w:p w14:paraId="77562935" w14:textId="4478C55F" w:rsidR="008C584A" w:rsidRPr="008C584A" w:rsidRDefault="008C584A" w:rsidP="006B6EE8">
      <w:pPr>
        <w:spacing w:after="0" w:line="276" w:lineRule="auto"/>
        <w:ind w:firstLine="340"/>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Ostatnią wymienioną grupą zewnętrznych źródeł finansowania przedsięwzięć inwestycyjnych są tzw. źródła alternatywne. Należy tu przede wszystkim wskazać na partnerstwo publiczno-prywatne. Angażowanie partnerów prywatnych służy przede wszystkim lepszemu wydatkowaniu środków publicznych dzięki wykorzystaniu ich wiedzy i niezależnej kontroli założeń projektowych przez instytucje finansowe. Przez partnerstwo publiczno-prywatne należy rozumieć stosunki umowne zawierane między podmiotem publicznym i partnerem prywatnym, służące realizacji zadania publicznego. Podstawową zasadą jest realizacja przez partnera prywatnego przedsięwzięcia za wynagrodzeniem na rzecz podmiotu publiczne</w:t>
      </w:r>
      <w:r w:rsidR="00A17EB1">
        <w:rPr>
          <w:rFonts w:ascii="Times New Roman" w:eastAsia="Calibri" w:hAnsi="Times New Roman" w:cs="Times New Roman"/>
          <w:sz w:val="24"/>
          <w:szCs w:val="24"/>
        </w:rPr>
        <w:t>g</w:t>
      </w:r>
      <w:r w:rsidRPr="008C584A">
        <w:rPr>
          <w:rFonts w:ascii="Times New Roman" w:eastAsia="Calibri" w:hAnsi="Times New Roman" w:cs="Times New Roman"/>
          <w:sz w:val="24"/>
          <w:szCs w:val="24"/>
        </w:rPr>
        <w:t>o. W umowie precyzuje się, czy partner prywatny poniesie w całości, czy tylko w części nakłady na realizację przedsięwzięcia. Drugą zasadą jest nadwyżka korzyści dla interesu publicznego (społeczności samorządowej), przeważająca nad korzyściami wynikającymi z innych sposobów realizacji tego przedsięwzięcia. Takimi korzyściami mogą być oszczędności w wydatkach, podniesienie standardu świadczonych usług lub obniżenie uciążliwości dla otoczenia, w szczególności dla społeczeństwa.</w:t>
      </w:r>
    </w:p>
    <w:p w14:paraId="3F77BF87" w14:textId="77777777" w:rsidR="008C584A" w:rsidRPr="008C584A" w:rsidRDefault="008C584A" w:rsidP="006B6EE8">
      <w:pPr>
        <w:spacing w:after="0" w:line="276" w:lineRule="auto"/>
        <w:ind w:firstLine="340"/>
        <w:jc w:val="both"/>
        <w:rPr>
          <w:rFonts w:ascii="Times New Roman" w:eastAsia="Calibri" w:hAnsi="Times New Roman" w:cs="Times New Roman"/>
          <w:sz w:val="24"/>
          <w:szCs w:val="24"/>
        </w:rPr>
      </w:pPr>
      <w:r w:rsidRPr="008C584A">
        <w:rPr>
          <w:rFonts w:ascii="Times New Roman" w:eastAsia="Calibri" w:hAnsi="Times New Roman" w:cs="Times New Roman"/>
          <w:sz w:val="24"/>
          <w:szCs w:val="24"/>
        </w:rPr>
        <w:t xml:space="preserve">Racjonalne finansowanie inwestycji w ujęciu wieloletnim wymaga stosowania zintegrowanych instrumentów zarzadzania, takich jak: strategia rozwoju gminy, wieloletni plan inwestycyjny, wieloletni plan finansowy (wyznaczający własny potencja inwestycyjny oraz możliwość doboru zewnętrznych źródeł finansowania), a także instrumenty planowania przestrzennego. </w:t>
      </w:r>
    </w:p>
    <w:p w14:paraId="6FFB7FD2" w14:textId="77777777" w:rsidR="008C584A" w:rsidRPr="008C584A" w:rsidRDefault="008C584A" w:rsidP="006B6EE8">
      <w:pPr>
        <w:tabs>
          <w:tab w:val="left" w:pos="0"/>
          <w:tab w:val="left" w:pos="9936"/>
          <w:tab w:val="left" w:pos="10080"/>
        </w:tabs>
        <w:spacing w:after="0" w:line="276" w:lineRule="auto"/>
        <w:jc w:val="both"/>
        <w:rPr>
          <w:rFonts w:ascii="Times New Roman" w:eastAsia="Times New Roman" w:hAnsi="Times New Roman" w:cs="Times New Roman"/>
          <w:b/>
          <w:i/>
          <w:iCs/>
          <w:sz w:val="24"/>
          <w:szCs w:val="20"/>
          <w:lang w:eastAsia="pl-PL"/>
        </w:rPr>
      </w:pPr>
    </w:p>
    <w:p w14:paraId="4F5D93B0" w14:textId="7D8E6895" w:rsidR="00213798" w:rsidRDefault="00213798" w:rsidP="006B6EE8">
      <w:pPr>
        <w:spacing w:line="276" w:lineRule="auto"/>
      </w:pPr>
    </w:p>
    <w:p w14:paraId="5B4F13B7" w14:textId="03B4296D" w:rsidR="006B6EE8" w:rsidRDefault="006B6EE8" w:rsidP="006B6EE8">
      <w:pPr>
        <w:spacing w:line="276" w:lineRule="auto"/>
      </w:pPr>
    </w:p>
    <w:p w14:paraId="31A5FB30" w14:textId="47A229F1" w:rsidR="006B6EE8" w:rsidRDefault="006B6EE8" w:rsidP="006B6EE8">
      <w:pPr>
        <w:spacing w:line="276" w:lineRule="auto"/>
      </w:pPr>
    </w:p>
    <w:p w14:paraId="332FE3A9" w14:textId="4F3D8D74" w:rsidR="006B6EE8" w:rsidRDefault="006B6EE8" w:rsidP="006B6EE8">
      <w:pPr>
        <w:spacing w:line="276" w:lineRule="auto"/>
      </w:pPr>
    </w:p>
    <w:p w14:paraId="07688ACA" w14:textId="50A10D39" w:rsidR="006B6EE8" w:rsidRDefault="006B6EE8" w:rsidP="006B6EE8">
      <w:pPr>
        <w:spacing w:line="276" w:lineRule="auto"/>
      </w:pPr>
    </w:p>
    <w:p w14:paraId="4D851321" w14:textId="053BC783" w:rsidR="006B6EE8" w:rsidRDefault="006B6EE8" w:rsidP="006B6EE8">
      <w:pPr>
        <w:spacing w:line="276" w:lineRule="auto"/>
      </w:pPr>
    </w:p>
    <w:p w14:paraId="61619CFE" w14:textId="78D0A326" w:rsidR="006B6EE8" w:rsidRDefault="006B6EE8" w:rsidP="006B6EE8">
      <w:pPr>
        <w:spacing w:line="276" w:lineRule="auto"/>
      </w:pPr>
    </w:p>
    <w:p w14:paraId="770FD1B4" w14:textId="34ECCB9F" w:rsidR="006B6EE8" w:rsidRDefault="006B6EE8" w:rsidP="006B6EE8">
      <w:pPr>
        <w:spacing w:line="276" w:lineRule="auto"/>
      </w:pPr>
    </w:p>
    <w:p w14:paraId="7B4C5585" w14:textId="3A79C973" w:rsidR="006B6EE8" w:rsidRDefault="006B6EE8" w:rsidP="006B6EE8">
      <w:pPr>
        <w:spacing w:line="276" w:lineRule="auto"/>
      </w:pPr>
    </w:p>
    <w:p w14:paraId="6D321D9C" w14:textId="36A6EBE6" w:rsidR="006B6EE8" w:rsidRDefault="006B6EE8" w:rsidP="006B6EE8">
      <w:pPr>
        <w:spacing w:line="276" w:lineRule="auto"/>
      </w:pPr>
    </w:p>
    <w:p w14:paraId="3CB4A4B5" w14:textId="791F7889" w:rsidR="006B6EE8" w:rsidRDefault="006B6EE8" w:rsidP="006B6EE8">
      <w:pPr>
        <w:spacing w:line="276" w:lineRule="auto"/>
      </w:pPr>
    </w:p>
    <w:p w14:paraId="4760163B" w14:textId="4C41B604" w:rsidR="006B6EE8" w:rsidRDefault="006B6EE8" w:rsidP="006B6EE8">
      <w:pPr>
        <w:spacing w:line="276" w:lineRule="auto"/>
      </w:pPr>
    </w:p>
    <w:p w14:paraId="0FF09677" w14:textId="1BC912FF" w:rsidR="006B6EE8" w:rsidRPr="00CD12B4" w:rsidRDefault="006B6EE8" w:rsidP="006B6EE8">
      <w:pPr>
        <w:spacing w:line="276" w:lineRule="auto"/>
        <w:rPr>
          <w:b/>
          <w:bCs/>
        </w:rPr>
      </w:pPr>
    </w:p>
    <w:p w14:paraId="6EAC70BE" w14:textId="626F43E2" w:rsidR="006B6EE8" w:rsidRPr="00CD12B4" w:rsidRDefault="006B6EE8" w:rsidP="006B6EE8">
      <w:pPr>
        <w:spacing w:line="276" w:lineRule="auto"/>
        <w:rPr>
          <w:rFonts w:ascii="Times New Roman" w:hAnsi="Times New Roman" w:cs="Times New Roman"/>
          <w:b/>
          <w:bCs/>
          <w:sz w:val="24"/>
          <w:szCs w:val="24"/>
        </w:rPr>
      </w:pPr>
      <w:r w:rsidRPr="00CD12B4">
        <w:rPr>
          <w:rFonts w:ascii="Times New Roman" w:hAnsi="Times New Roman" w:cs="Times New Roman"/>
          <w:b/>
          <w:bCs/>
          <w:sz w:val="24"/>
          <w:szCs w:val="24"/>
        </w:rPr>
        <w:t>Spis tabel:</w:t>
      </w:r>
    </w:p>
    <w:p w14:paraId="686E0D46" w14:textId="77777777" w:rsidR="006B6EE8" w:rsidRPr="006B6EE8" w:rsidRDefault="006B6EE8" w:rsidP="006B6EE8">
      <w:pPr>
        <w:spacing w:line="276" w:lineRule="auto"/>
        <w:ind w:left="851" w:hanging="851"/>
        <w:jc w:val="both"/>
        <w:rPr>
          <w:rFonts w:ascii="Times New Roman" w:hAnsi="Times New Roman" w:cs="Times New Roman"/>
          <w:sz w:val="24"/>
          <w:szCs w:val="24"/>
        </w:rPr>
      </w:pPr>
      <w:r w:rsidRPr="006B6EE8">
        <w:rPr>
          <w:rFonts w:ascii="Times New Roman" w:hAnsi="Times New Roman" w:cs="Times New Roman"/>
          <w:sz w:val="24"/>
          <w:szCs w:val="24"/>
        </w:rPr>
        <w:t xml:space="preserve">Tabela 1. Ocena wpływu barier na procesy rozwojowe </w:t>
      </w:r>
    </w:p>
    <w:p w14:paraId="61003821" w14:textId="77777777" w:rsidR="006B6EE8" w:rsidRPr="006B6EE8" w:rsidRDefault="006B6EE8" w:rsidP="006B6EE8">
      <w:pPr>
        <w:spacing w:after="0" w:line="276" w:lineRule="auto"/>
        <w:ind w:left="851" w:hanging="851"/>
        <w:jc w:val="both"/>
        <w:rPr>
          <w:rFonts w:ascii="Times New Roman" w:hAnsi="Times New Roman" w:cs="Times New Roman"/>
          <w:sz w:val="24"/>
          <w:szCs w:val="24"/>
        </w:rPr>
      </w:pPr>
      <w:r w:rsidRPr="006B6EE8">
        <w:rPr>
          <w:rFonts w:ascii="Times New Roman" w:hAnsi="Times New Roman" w:cs="Times New Roman"/>
          <w:sz w:val="24"/>
          <w:szCs w:val="24"/>
        </w:rPr>
        <w:t xml:space="preserve">Tabela 2. Hierarchiczny układ celów i kierunków działań </w:t>
      </w:r>
    </w:p>
    <w:p w14:paraId="607633EF" w14:textId="77777777" w:rsidR="006B6EE8" w:rsidRPr="006B6EE8" w:rsidRDefault="006B6EE8" w:rsidP="006B6EE8">
      <w:pPr>
        <w:spacing w:after="120" w:line="276" w:lineRule="auto"/>
        <w:ind w:left="851" w:hanging="851"/>
        <w:rPr>
          <w:rFonts w:ascii="Times New Roman" w:hAnsi="Times New Roman" w:cs="Times New Roman"/>
          <w:sz w:val="24"/>
          <w:szCs w:val="24"/>
        </w:rPr>
      </w:pPr>
      <w:r w:rsidRPr="006B6EE8">
        <w:rPr>
          <w:rFonts w:ascii="Times New Roman" w:hAnsi="Times New Roman" w:cs="Times New Roman"/>
          <w:sz w:val="24"/>
          <w:szCs w:val="24"/>
        </w:rPr>
        <w:t>Tabela 3. Wykaz obiektów przyrodniczych prawnie chronionych na obszarze gminy Góra Kalwaria wg stanu na 15.10.2022 r.</w:t>
      </w:r>
    </w:p>
    <w:p w14:paraId="31B351E2" w14:textId="77777777" w:rsidR="006B6EE8" w:rsidRPr="006B6EE8" w:rsidRDefault="006B6EE8" w:rsidP="006B6EE8">
      <w:pPr>
        <w:pStyle w:val="Default"/>
        <w:spacing w:line="276" w:lineRule="auto"/>
        <w:ind w:left="851" w:hanging="851"/>
        <w:rPr>
          <w:rFonts w:ascii="Times New Roman" w:hAnsi="Times New Roman" w:cs="Times New Roman"/>
        </w:rPr>
      </w:pPr>
      <w:r w:rsidRPr="006B6EE8">
        <w:rPr>
          <w:rFonts w:ascii="Times New Roman" w:hAnsi="Times New Roman" w:cs="Times New Roman"/>
        </w:rPr>
        <w:t>Tabela 4. Wybrane, syntetyczne elementy oceny jakości jednolitych części wód powierzchniowych na obszarze gminy Góra Kalwaria w 2021 r.</w:t>
      </w:r>
    </w:p>
    <w:p w14:paraId="475920D2" w14:textId="77777777" w:rsidR="006B6EE8" w:rsidRPr="006B6EE8" w:rsidRDefault="006B6EE8" w:rsidP="006B6EE8">
      <w:pPr>
        <w:autoSpaceDE w:val="0"/>
        <w:autoSpaceDN w:val="0"/>
        <w:adjustRightInd w:val="0"/>
        <w:spacing w:after="0" w:line="276" w:lineRule="auto"/>
        <w:ind w:left="851" w:hanging="851"/>
        <w:jc w:val="both"/>
        <w:rPr>
          <w:rFonts w:ascii="Times New Roman" w:hAnsi="Times New Roman" w:cs="Times New Roman"/>
          <w:sz w:val="24"/>
          <w:szCs w:val="24"/>
        </w:rPr>
      </w:pPr>
      <w:r w:rsidRPr="006B6EE8">
        <w:rPr>
          <w:rFonts w:ascii="Times New Roman" w:hAnsi="Times New Roman" w:cs="Times New Roman"/>
          <w:sz w:val="24"/>
          <w:szCs w:val="24"/>
        </w:rPr>
        <w:t xml:space="preserve">Tabela 5. Cele strategii rozwoju opracowane dla Gminy Kalwaria w kontekście zapisów strategii rozwoju województwa mazowieckiego </w:t>
      </w:r>
    </w:p>
    <w:p w14:paraId="414CEA56" w14:textId="77777777" w:rsidR="006B6EE8" w:rsidRPr="006B6EE8" w:rsidRDefault="006B6EE8" w:rsidP="006B6EE8">
      <w:pPr>
        <w:pStyle w:val="EJNormalny"/>
        <w:ind w:left="851" w:hanging="851"/>
        <w:rPr>
          <w:rFonts w:ascii="Times New Roman" w:hAnsi="Times New Roman"/>
        </w:rPr>
      </w:pPr>
      <w:r w:rsidRPr="006B6EE8">
        <w:rPr>
          <w:rFonts w:ascii="Times New Roman" w:hAnsi="Times New Roman"/>
        </w:rPr>
        <w:t xml:space="preserve">Tabela 6. Proponowane wskaźniki monitorowania (przepisane do celów operacyjnych) </w:t>
      </w:r>
    </w:p>
    <w:p w14:paraId="3EC6BB1C" w14:textId="77777777" w:rsidR="006B6EE8" w:rsidRPr="006B6EE8" w:rsidRDefault="006B6EE8" w:rsidP="006B6EE8">
      <w:pPr>
        <w:spacing w:after="0" w:line="276" w:lineRule="auto"/>
        <w:ind w:left="851" w:hanging="851"/>
        <w:rPr>
          <w:rFonts w:ascii="Times New Roman" w:eastAsia="Times New Roman" w:hAnsi="Times New Roman" w:cs="Times New Roman"/>
          <w:sz w:val="24"/>
          <w:szCs w:val="24"/>
          <w:lang w:eastAsia="pl-PL"/>
        </w:rPr>
      </w:pPr>
      <w:r w:rsidRPr="006B6EE8">
        <w:rPr>
          <w:rFonts w:ascii="Times New Roman" w:eastAsia="Times New Roman" w:hAnsi="Times New Roman" w:cs="Times New Roman"/>
          <w:sz w:val="24"/>
          <w:szCs w:val="24"/>
          <w:lang w:eastAsia="pl-PL"/>
        </w:rPr>
        <w:t xml:space="preserve">Tabela 7 Dochody budżetu Gminy Góra Kalwaria w latach 2014-2022 (wartości nominalne i realne w zł).  </w:t>
      </w:r>
    </w:p>
    <w:p w14:paraId="69050127" w14:textId="77777777" w:rsidR="006B6EE8" w:rsidRPr="006B6EE8" w:rsidRDefault="006B6EE8" w:rsidP="006B6EE8">
      <w:pPr>
        <w:spacing w:after="0" w:line="276" w:lineRule="auto"/>
        <w:ind w:left="851" w:hanging="851"/>
        <w:rPr>
          <w:rFonts w:ascii="Times New Roman" w:eastAsia="Times New Roman" w:hAnsi="Times New Roman" w:cs="Times New Roman"/>
          <w:sz w:val="24"/>
          <w:szCs w:val="24"/>
          <w:lang w:eastAsia="pl-PL"/>
        </w:rPr>
      </w:pPr>
      <w:r w:rsidRPr="006B6EE8">
        <w:rPr>
          <w:rFonts w:ascii="Times New Roman" w:eastAsia="Times New Roman" w:hAnsi="Times New Roman" w:cs="Times New Roman"/>
          <w:sz w:val="24"/>
          <w:szCs w:val="24"/>
          <w:lang w:eastAsia="pl-PL"/>
        </w:rPr>
        <w:t>Tabela 8 Struktura dochodów budżetu Gminy Góra Kalwaria lata 2014-2022 (w %)</w:t>
      </w:r>
    </w:p>
    <w:p w14:paraId="000A2929" w14:textId="77777777" w:rsidR="006B6EE8" w:rsidRPr="006B6EE8" w:rsidRDefault="006B6EE8" w:rsidP="006B6EE8">
      <w:pPr>
        <w:spacing w:after="0" w:line="276" w:lineRule="auto"/>
        <w:ind w:left="851" w:hanging="851"/>
        <w:rPr>
          <w:rFonts w:ascii="Times New Roman" w:eastAsia="Times New Roman" w:hAnsi="Times New Roman" w:cs="Times New Roman"/>
          <w:sz w:val="24"/>
          <w:szCs w:val="24"/>
          <w:lang w:eastAsia="pl-PL"/>
        </w:rPr>
      </w:pPr>
      <w:r w:rsidRPr="006B6EE8">
        <w:rPr>
          <w:rFonts w:ascii="Times New Roman" w:eastAsia="Times New Roman" w:hAnsi="Times New Roman" w:cs="Times New Roman"/>
          <w:spacing w:val="-3"/>
          <w:sz w:val="24"/>
          <w:szCs w:val="24"/>
          <w:lang w:eastAsia="pl-PL"/>
        </w:rPr>
        <w:t>Tabela 9 Lokalne dochody własne gminy Góra Kalwaria w latach 2014-2022 (wybrane</w:t>
      </w:r>
    </w:p>
    <w:p w14:paraId="20D9C444" w14:textId="77777777" w:rsidR="006B6EE8" w:rsidRPr="006B6EE8" w:rsidRDefault="006B6EE8" w:rsidP="006B6EE8">
      <w:pPr>
        <w:pStyle w:val="EJNormalny"/>
        <w:ind w:left="851" w:hanging="851"/>
        <w:rPr>
          <w:rFonts w:ascii="Times New Roman" w:hAnsi="Times New Roman"/>
          <w:snapToGrid w:val="0"/>
          <w:color w:val="000000"/>
        </w:rPr>
      </w:pPr>
      <w:r w:rsidRPr="006B6EE8">
        <w:rPr>
          <w:rFonts w:ascii="Times New Roman" w:hAnsi="Times New Roman"/>
          <w:snapToGrid w:val="0"/>
          <w:color w:val="000000"/>
        </w:rPr>
        <w:t>Tabela 10. Wydatki budżetu Gminy Góra Kalwaria w latach 2014-2022 w zł</w:t>
      </w:r>
    </w:p>
    <w:p w14:paraId="5D4B2B49" w14:textId="77777777" w:rsidR="006B6EE8" w:rsidRPr="006B6EE8" w:rsidRDefault="006B6EE8" w:rsidP="006B6EE8">
      <w:pPr>
        <w:spacing w:after="0" w:line="276" w:lineRule="auto"/>
        <w:ind w:left="851" w:hanging="851"/>
        <w:jc w:val="both"/>
        <w:rPr>
          <w:rFonts w:ascii="Times New Roman" w:eastAsia="Times New Roman" w:hAnsi="Times New Roman" w:cs="Times New Roman"/>
          <w:sz w:val="24"/>
          <w:szCs w:val="24"/>
          <w:lang w:eastAsia="pl-PL"/>
        </w:rPr>
      </w:pPr>
      <w:r w:rsidRPr="006B6EE8">
        <w:rPr>
          <w:rFonts w:ascii="Times New Roman" w:eastAsia="Times New Roman" w:hAnsi="Times New Roman" w:cs="Times New Roman"/>
          <w:sz w:val="24"/>
          <w:szCs w:val="24"/>
          <w:lang w:eastAsia="pl-PL"/>
        </w:rPr>
        <w:t xml:space="preserve">Tabela 11 Struktura wydatków Gminy Góra Kalwaria w latach 2014-2022 – udział % w wydatkach ogółem. </w:t>
      </w:r>
    </w:p>
    <w:p w14:paraId="27C87B0B" w14:textId="77777777" w:rsidR="006B6EE8" w:rsidRPr="006B6EE8" w:rsidRDefault="006B6EE8" w:rsidP="006B6EE8">
      <w:pPr>
        <w:spacing w:after="0" w:line="276" w:lineRule="auto"/>
        <w:ind w:left="851" w:hanging="851"/>
        <w:jc w:val="both"/>
        <w:rPr>
          <w:rFonts w:ascii="Times New Roman" w:eastAsia="Times New Roman" w:hAnsi="Times New Roman" w:cs="Times New Roman"/>
          <w:sz w:val="24"/>
          <w:szCs w:val="24"/>
          <w:lang w:eastAsia="pl-PL"/>
        </w:rPr>
      </w:pPr>
      <w:r w:rsidRPr="006B6EE8">
        <w:rPr>
          <w:rFonts w:ascii="Times New Roman" w:eastAsia="Times New Roman" w:hAnsi="Times New Roman" w:cs="Times New Roman"/>
          <w:sz w:val="24"/>
          <w:szCs w:val="24"/>
          <w:lang w:eastAsia="pl-PL"/>
        </w:rPr>
        <w:t>Tabela 12.  Struktura wydatków inwestycyjnych w latach 2014-2022 w zł.</w:t>
      </w:r>
    </w:p>
    <w:p w14:paraId="51252192" w14:textId="77777777" w:rsidR="006B6EE8" w:rsidRPr="006B6EE8" w:rsidRDefault="006B6EE8" w:rsidP="006B6EE8">
      <w:pPr>
        <w:tabs>
          <w:tab w:val="left" w:pos="0"/>
          <w:tab w:val="left" w:pos="9936"/>
          <w:tab w:val="left" w:pos="10080"/>
        </w:tabs>
        <w:spacing w:after="0" w:line="276" w:lineRule="auto"/>
        <w:ind w:left="851" w:hanging="851"/>
        <w:jc w:val="both"/>
        <w:rPr>
          <w:rFonts w:ascii="Times New Roman" w:eastAsia="Times New Roman" w:hAnsi="Times New Roman" w:cs="Times New Roman"/>
          <w:bCs/>
          <w:sz w:val="24"/>
          <w:szCs w:val="24"/>
          <w:lang w:eastAsia="pl-PL"/>
        </w:rPr>
      </w:pPr>
      <w:r w:rsidRPr="006B6EE8">
        <w:rPr>
          <w:rFonts w:ascii="Times New Roman" w:eastAsia="Times New Roman" w:hAnsi="Times New Roman" w:cs="Times New Roman"/>
          <w:bCs/>
          <w:sz w:val="24"/>
          <w:szCs w:val="24"/>
          <w:lang w:eastAsia="pl-PL"/>
        </w:rPr>
        <w:t>Tabela 13. Prognozowane przepływy finansowe gminy Góra Kalwaria – zgodnie z Wieloletnia Prognozą Finansową</w:t>
      </w:r>
    </w:p>
    <w:p w14:paraId="1885D04F" w14:textId="77777777" w:rsidR="006B6EE8" w:rsidRDefault="006B6EE8" w:rsidP="006B6EE8">
      <w:pPr>
        <w:pStyle w:val="EJNormalny"/>
        <w:ind w:firstLine="0"/>
        <w:rPr>
          <w:rFonts w:ascii="Times New Roman" w:hAnsi="Times New Roman"/>
        </w:rPr>
      </w:pPr>
    </w:p>
    <w:p w14:paraId="60951A40" w14:textId="77777777" w:rsidR="006B6EE8" w:rsidRPr="00213798" w:rsidRDefault="006B6EE8" w:rsidP="006B6EE8">
      <w:pPr>
        <w:pStyle w:val="Default"/>
        <w:rPr>
          <w:rFonts w:ascii="Times New Roman" w:hAnsi="Times New Roman" w:cs="Times New Roman"/>
        </w:rPr>
      </w:pPr>
      <w:r>
        <w:rPr>
          <w:rFonts w:ascii="Times New Roman" w:hAnsi="Times New Roman" w:cs="Times New Roman"/>
          <w:sz w:val="23"/>
          <w:szCs w:val="23"/>
        </w:rPr>
        <w:t xml:space="preserve"> </w:t>
      </w:r>
    </w:p>
    <w:p w14:paraId="531CE1E4" w14:textId="77777777" w:rsidR="006B6EE8" w:rsidRDefault="006B6EE8" w:rsidP="006B6EE8">
      <w:pPr>
        <w:spacing w:after="0" w:line="276" w:lineRule="auto"/>
        <w:jc w:val="both"/>
        <w:rPr>
          <w:rFonts w:ascii="Times New Roman" w:hAnsi="Times New Roman" w:cs="Times New Roman"/>
          <w:sz w:val="24"/>
          <w:szCs w:val="24"/>
        </w:rPr>
      </w:pPr>
    </w:p>
    <w:p w14:paraId="1612BD19" w14:textId="31369F65" w:rsidR="006B6EE8" w:rsidRDefault="006B6EE8" w:rsidP="006B6EE8">
      <w:pPr>
        <w:jc w:val="both"/>
        <w:rPr>
          <w:rFonts w:ascii="Times New Roman" w:hAnsi="Times New Roman" w:cs="Times New Roman"/>
          <w:sz w:val="24"/>
          <w:szCs w:val="24"/>
        </w:rPr>
      </w:pPr>
    </w:p>
    <w:p w14:paraId="178DAE13" w14:textId="315BD436" w:rsidR="00996902" w:rsidRDefault="00996902" w:rsidP="006B6EE8">
      <w:pPr>
        <w:jc w:val="both"/>
        <w:rPr>
          <w:rFonts w:ascii="Times New Roman" w:hAnsi="Times New Roman" w:cs="Times New Roman"/>
          <w:sz w:val="24"/>
          <w:szCs w:val="24"/>
        </w:rPr>
      </w:pPr>
    </w:p>
    <w:p w14:paraId="2AE8F622" w14:textId="46373A03" w:rsidR="00996902" w:rsidRDefault="00996902" w:rsidP="006B6EE8">
      <w:pPr>
        <w:jc w:val="both"/>
        <w:rPr>
          <w:rFonts w:ascii="Times New Roman" w:hAnsi="Times New Roman" w:cs="Times New Roman"/>
          <w:sz w:val="24"/>
          <w:szCs w:val="24"/>
        </w:rPr>
      </w:pPr>
    </w:p>
    <w:p w14:paraId="4FB95FC1" w14:textId="159B40B7" w:rsidR="00996902" w:rsidRDefault="00996902" w:rsidP="006B6EE8">
      <w:pPr>
        <w:jc w:val="both"/>
        <w:rPr>
          <w:rFonts w:ascii="Times New Roman" w:hAnsi="Times New Roman" w:cs="Times New Roman"/>
          <w:sz w:val="24"/>
          <w:szCs w:val="24"/>
        </w:rPr>
      </w:pPr>
    </w:p>
    <w:p w14:paraId="000E588B" w14:textId="4167787B" w:rsidR="00996902" w:rsidRDefault="00996902" w:rsidP="006B6EE8">
      <w:pPr>
        <w:jc w:val="both"/>
        <w:rPr>
          <w:rFonts w:ascii="Times New Roman" w:hAnsi="Times New Roman" w:cs="Times New Roman"/>
          <w:sz w:val="24"/>
          <w:szCs w:val="24"/>
        </w:rPr>
      </w:pPr>
    </w:p>
    <w:p w14:paraId="3985D210" w14:textId="5DD88CF2" w:rsidR="00996902" w:rsidRDefault="00996902" w:rsidP="006B6EE8">
      <w:pPr>
        <w:jc w:val="both"/>
        <w:rPr>
          <w:rFonts w:ascii="Times New Roman" w:hAnsi="Times New Roman" w:cs="Times New Roman"/>
          <w:sz w:val="24"/>
          <w:szCs w:val="24"/>
        </w:rPr>
      </w:pPr>
    </w:p>
    <w:p w14:paraId="57A417A6" w14:textId="4D2C1F2F" w:rsidR="00996902" w:rsidRDefault="00996902" w:rsidP="006B6EE8">
      <w:pPr>
        <w:jc w:val="both"/>
        <w:rPr>
          <w:rFonts w:ascii="Times New Roman" w:hAnsi="Times New Roman" w:cs="Times New Roman"/>
          <w:sz w:val="24"/>
          <w:szCs w:val="24"/>
        </w:rPr>
      </w:pPr>
    </w:p>
    <w:p w14:paraId="30B52CC9" w14:textId="3183E546" w:rsidR="00996902" w:rsidRDefault="00996902" w:rsidP="006B6EE8">
      <w:pPr>
        <w:jc w:val="both"/>
        <w:rPr>
          <w:rFonts w:ascii="Times New Roman" w:hAnsi="Times New Roman" w:cs="Times New Roman"/>
          <w:sz w:val="24"/>
          <w:szCs w:val="24"/>
        </w:rPr>
      </w:pPr>
    </w:p>
    <w:p w14:paraId="2BFF887F" w14:textId="0524305B" w:rsidR="00996902" w:rsidRDefault="00996902" w:rsidP="006B6EE8">
      <w:pPr>
        <w:jc w:val="both"/>
        <w:rPr>
          <w:rFonts w:ascii="Times New Roman" w:hAnsi="Times New Roman" w:cs="Times New Roman"/>
          <w:sz w:val="24"/>
          <w:szCs w:val="24"/>
        </w:rPr>
      </w:pPr>
    </w:p>
    <w:p w14:paraId="585FB9B8" w14:textId="6B64BD8E" w:rsidR="00996902" w:rsidRDefault="00996902" w:rsidP="006B6EE8">
      <w:pPr>
        <w:jc w:val="both"/>
        <w:rPr>
          <w:rFonts w:ascii="Times New Roman" w:hAnsi="Times New Roman" w:cs="Times New Roman"/>
          <w:sz w:val="24"/>
          <w:szCs w:val="24"/>
        </w:rPr>
      </w:pPr>
    </w:p>
    <w:p w14:paraId="12C8D824" w14:textId="3E1891C1" w:rsidR="00996902" w:rsidRDefault="00996902" w:rsidP="006B6EE8">
      <w:pPr>
        <w:jc w:val="both"/>
        <w:rPr>
          <w:rFonts w:ascii="Times New Roman" w:hAnsi="Times New Roman" w:cs="Times New Roman"/>
          <w:sz w:val="24"/>
          <w:szCs w:val="24"/>
        </w:rPr>
      </w:pPr>
    </w:p>
    <w:p w14:paraId="4F9C6730" w14:textId="3E2F809E" w:rsidR="00996902" w:rsidRDefault="00996902" w:rsidP="006B6EE8">
      <w:pPr>
        <w:jc w:val="both"/>
        <w:rPr>
          <w:rFonts w:ascii="Times New Roman" w:hAnsi="Times New Roman" w:cs="Times New Roman"/>
          <w:sz w:val="24"/>
          <w:szCs w:val="24"/>
        </w:rPr>
      </w:pPr>
    </w:p>
    <w:p w14:paraId="3F66019E" w14:textId="4758EA88" w:rsidR="00996902" w:rsidRDefault="00996902" w:rsidP="006B6EE8">
      <w:pPr>
        <w:jc w:val="both"/>
        <w:rPr>
          <w:rFonts w:ascii="Times New Roman" w:hAnsi="Times New Roman" w:cs="Times New Roman"/>
          <w:sz w:val="24"/>
          <w:szCs w:val="24"/>
        </w:rPr>
      </w:pPr>
    </w:p>
    <w:p w14:paraId="392A3EF8" w14:textId="253C582F" w:rsidR="00996902" w:rsidRPr="00996902" w:rsidRDefault="00996902" w:rsidP="006B6EE8">
      <w:pPr>
        <w:jc w:val="both"/>
        <w:rPr>
          <w:rFonts w:ascii="Times New Roman" w:hAnsi="Times New Roman" w:cs="Times New Roman"/>
          <w:b/>
          <w:bCs/>
          <w:sz w:val="24"/>
          <w:szCs w:val="24"/>
        </w:rPr>
      </w:pPr>
      <w:r w:rsidRPr="00996902">
        <w:rPr>
          <w:rFonts w:ascii="Times New Roman" w:hAnsi="Times New Roman" w:cs="Times New Roman"/>
          <w:b/>
          <w:bCs/>
          <w:sz w:val="24"/>
          <w:szCs w:val="24"/>
        </w:rPr>
        <w:lastRenderedPageBreak/>
        <w:t xml:space="preserve">Spis rycin: </w:t>
      </w:r>
    </w:p>
    <w:p w14:paraId="67ED36AE" w14:textId="77777777" w:rsidR="006B6EE8" w:rsidRPr="00996902" w:rsidRDefault="006B6EE8" w:rsidP="00996902">
      <w:pPr>
        <w:spacing w:after="0" w:line="276" w:lineRule="auto"/>
        <w:ind w:left="851" w:hanging="851"/>
        <w:rPr>
          <w:rFonts w:ascii="Times New Roman" w:hAnsi="Times New Roman" w:cs="Times New Roman"/>
          <w:bCs/>
          <w:sz w:val="24"/>
          <w:szCs w:val="24"/>
        </w:rPr>
      </w:pPr>
      <w:r w:rsidRPr="00996902">
        <w:rPr>
          <w:rFonts w:ascii="Times New Roman" w:hAnsi="Times New Roman" w:cs="Times New Roman"/>
          <w:bCs/>
          <w:sz w:val="24"/>
          <w:szCs w:val="24"/>
        </w:rPr>
        <w:t>Ryc. 1. Plan zagospodarowania obszaru przestrzennego miejskiego obszaru funkcjonalnego Warszawy. Stan zagospodarowania</w:t>
      </w:r>
    </w:p>
    <w:p w14:paraId="12579FCF" w14:textId="77777777" w:rsidR="006B6EE8" w:rsidRPr="00996902" w:rsidRDefault="006B6EE8" w:rsidP="00996902">
      <w:pPr>
        <w:pStyle w:val="Default"/>
        <w:spacing w:line="276" w:lineRule="auto"/>
        <w:ind w:left="851" w:hanging="851"/>
        <w:jc w:val="both"/>
        <w:rPr>
          <w:rFonts w:ascii="Times New Roman" w:hAnsi="Times New Roman" w:cs="Times New Roman"/>
          <w:color w:val="auto"/>
        </w:rPr>
      </w:pPr>
      <w:r w:rsidRPr="00996902">
        <w:rPr>
          <w:rFonts w:ascii="Times New Roman" w:hAnsi="Times New Roman" w:cs="Times New Roman"/>
          <w:color w:val="auto"/>
        </w:rPr>
        <w:t>Ryc. 2. Struktura osadnicza i podstawowe elementy zagospodarowania przestrzennego gminy miejsko-wiejskiej Góra Kalwaria</w:t>
      </w:r>
    </w:p>
    <w:p w14:paraId="469A7F92" w14:textId="77777777" w:rsidR="006B6EE8" w:rsidRPr="00996902" w:rsidRDefault="006B6EE8" w:rsidP="00996902">
      <w:pPr>
        <w:pStyle w:val="Default"/>
        <w:spacing w:line="276" w:lineRule="auto"/>
        <w:ind w:left="851" w:hanging="851"/>
        <w:jc w:val="both"/>
        <w:rPr>
          <w:rFonts w:ascii="Times New Roman" w:hAnsi="Times New Roman" w:cs="Times New Roman"/>
        </w:rPr>
      </w:pPr>
      <w:r w:rsidRPr="00996902">
        <w:rPr>
          <w:rFonts w:ascii="Times New Roman" w:hAnsi="Times New Roman" w:cs="Times New Roman"/>
        </w:rPr>
        <w:t>Ryc. 3. Kierunki kształtowania struktury przestrzennej gminy Góra Kalwaria</w:t>
      </w:r>
    </w:p>
    <w:p w14:paraId="301CE6CC" w14:textId="001E12BE" w:rsidR="006B6EE8" w:rsidRPr="00996902" w:rsidRDefault="006B6EE8" w:rsidP="00996902">
      <w:pPr>
        <w:spacing w:after="0" w:line="276" w:lineRule="auto"/>
        <w:ind w:left="851" w:hanging="851"/>
        <w:rPr>
          <w:rFonts w:ascii="Times New Roman" w:hAnsi="Times New Roman" w:cs="Times New Roman"/>
          <w:sz w:val="24"/>
          <w:szCs w:val="24"/>
        </w:rPr>
      </w:pPr>
      <w:bookmarkStart w:id="67" w:name="_Hlk119635583"/>
      <w:r w:rsidRPr="00996902">
        <w:rPr>
          <w:rFonts w:ascii="Times New Roman" w:hAnsi="Times New Roman" w:cs="Times New Roman"/>
          <w:sz w:val="24"/>
          <w:szCs w:val="24"/>
        </w:rPr>
        <w:t xml:space="preserve">Ryc. 4. Model struktury funkcjonalno-przestrzennej województwa mazowieckiego </w:t>
      </w:r>
    </w:p>
    <w:bookmarkEnd w:id="67"/>
    <w:p w14:paraId="5FCEE305" w14:textId="77777777" w:rsidR="006B6EE8" w:rsidRPr="00996902" w:rsidRDefault="006B6EE8" w:rsidP="00996902">
      <w:pPr>
        <w:autoSpaceDE w:val="0"/>
        <w:autoSpaceDN w:val="0"/>
        <w:adjustRightInd w:val="0"/>
        <w:spacing w:after="0" w:line="276" w:lineRule="auto"/>
        <w:ind w:left="851" w:hanging="851"/>
        <w:jc w:val="both"/>
        <w:rPr>
          <w:rFonts w:ascii="Times New Roman" w:hAnsi="Times New Roman" w:cs="Times New Roman"/>
          <w:color w:val="000000"/>
          <w:sz w:val="24"/>
          <w:szCs w:val="24"/>
        </w:rPr>
      </w:pPr>
      <w:r w:rsidRPr="00996902">
        <w:rPr>
          <w:rFonts w:ascii="Times New Roman" w:hAnsi="Times New Roman" w:cs="Times New Roman"/>
          <w:color w:val="000000"/>
          <w:sz w:val="24"/>
          <w:szCs w:val="24"/>
        </w:rPr>
        <w:t xml:space="preserve">Ryc. 5. Obszary strategicznej interwencji - województwo mazowieckie </w:t>
      </w:r>
    </w:p>
    <w:p w14:paraId="1EE81886" w14:textId="7C1B2622" w:rsidR="006B6EE8" w:rsidRPr="00996902" w:rsidRDefault="006B6EE8" w:rsidP="00996902">
      <w:pPr>
        <w:tabs>
          <w:tab w:val="center" w:pos="4536"/>
          <w:tab w:val="right" w:pos="9072"/>
        </w:tabs>
        <w:spacing w:after="0" w:line="276" w:lineRule="auto"/>
        <w:ind w:left="851" w:hanging="851"/>
        <w:rPr>
          <w:rFonts w:ascii="Times New Roman" w:eastAsia="Times New Roman" w:hAnsi="Times New Roman" w:cs="Times New Roman"/>
          <w:sz w:val="24"/>
          <w:szCs w:val="24"/>
          <w:lang w:eastAsia="pl-PL"/>
        </w:rPr>
      </w:pPr>
      <w:bookmarkStart w:id="68" w:name="_Hlk119636281"/>
      <w:r w:rsidRPr="00996902">
        <w:rPr>
          <w:rFonts w:ascii="Times New Roman" w:eastAsia="Times New Roman" w:hAnsi="Times New Roman" w:cs="Times New Roman"/>
          <w:sz w:val="24"/>
          <w:szCs w:val="24"/>
          <w:lang w:eastAsia="pl-PL"/>
        </w:rPr>
        <w:t>Ryc. 6</w:t>
      </w:r>
      <w:r w:rsidR="00996902">
        <w:rPr>
          <w:rFonts w:ascii="Times New Roman" w:eastAsia="Times New Roman" w:hAnsi="Times New Roman" w:cs="Times New Roman"/>
          <w:sz w:val="24"/>
          <w:szCs w:val="24"/>
          <w:lang w:eastAsia="pl-PL"/>
        </w:rPr>
        <w:t>.</w:t>
      </w:r>
      <w:r w:rsidRPr="00996902">
        <w:rPr>
          <w:rFonts w:ascii="Times New Roman" w:eastAsia="Times New Roman" w:hAnsi="Times New Roman" w:cs="Times New Roman"/>
          <w:sz w:val="24"/>
          <w:szCs w:val="24"/>
          <w:lang w:eastAsia="pl-PL"/>
        </w:rPr>
        <w:t xml:space="preserve"> Dochody budżetu gminy Góra Kalwaria w latach 2014-2022 w zł. </w:t>
      </w:r>
    </w:p>
    <w:bookmarkEnd w:id="68"/>
    <w:p w14:paraId="4901A120" w14:textId="3892F158" w:rsidR="006B6EE8" w:rsidRPr="00996902" w:rsidRDefault="006B6EE8" w:rsidP="00996902">
      <w:pPr>
        <w:tabs>
          <w:tab w:val="left" w:pos="0"/>
          <w:tab w:val="left" w:pos="1152"/>
        </w:tabs>
        <w:spacing w:after="0" w:line="276" w:lineRule="auto"/>
        <w:ind w:left="851" w:hanging="851"/>
        <w:jc w:val="both"/>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 7</w:t>
      </w:r>
      <w:r w:rsidR="00996902">
        <w:rPr>
          <w:rFonts w:ascii="Times New Roman" w:eastAsia="Times New Roman" w:hAnsi="Times New Roman" w:cs="Times New Roman"/>
          <w:sz w:val="24"/>
          <w:szCs w:val="24"/>
          <w:lang w:eastAsia="pl-PL"/>
        </w:rPr>
        <w:t>.</w:t>
      </w:r>
      <w:r w:rsidRPr="00996902">
        <w:rPr>
          <w:rFonts w:ascii="Times New Roman" w:eastAsia="Times New Roman" w:hAnsi="Times New Roman" w:cs="Times New Roman"/>
          <w:i/>
          <w:iCs/>
          <w:sz w:val="24"/>
          <w:szCs w:val="24"/>
          <w:lang w:eastAsia="pl-PL"/>
        </w:rPr>
        <w:t xml:space="preserve"> </w:t>
      </w:r>
      <w:r w:rsidRPr="00996902">
        <w:rPr>
          <w:rFonts w:ascii="Times New Roman" w:eastAsia="Times New Roman" w:hAnsi="Times New Roman" w:cs="Times New Roman"/>
          <w:sz w:val="24"/>
          <w:szCs w:val="24"/>
          <w:lang w:eastAsia="pl-PL"/>
        </w:rPr>
        <w:t>Struktura dochodów gminy Góra Kalwaria w latach 2012-2020 w %.</w:t>
      </w:r>
    </w:p>
    <w:p w14:paraId="5E8F174C" w14:textId="4D274DD2" w:rsidR="006B6EE8" w:rsidRPr="00996902" w:rsidRDefault="006B6EE8" w:rsidP="00996902">
      <w:pPr>
        <w:spacing w:after="0" w:line="276" w:lineRule="auto"/>
        <w:ind w:left="851" w:hanging="851"/>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 8.  Wydatki budżetu gminy Góra Kalwaria w latach 2014-2022 w zł.</w:t>
      </w:r>
    </w:p>
    <w:p w14:paraId="327DB42C" w14:textId="784194B5" w:rsidR="006B6EE8" w:rsidRPr="00996902" w:rsidRDefault="006B6EE8" w:rsidP="00996902">
      <w:pPr>
        <w:spacing w:after="0" w:line="276" w:lineRule="auto"/>
        <w:ind w:left="851" w:hanging="851"/>
        <w:contextualSpacing/>
        <w:jc w:val="both"/>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w:t>
      </w:r>
      <w:r w:rsidR="00996902">
        <w:rPr>
          <w:rFonts w:ascii="Times New Roman" w:eastAsia="Times New Roman" w:hAnsi="Times New Roman" w:cs="Times New Roman"/>
          <w:sz w:val="24"/>
          <w:szCs w:val="24"/>
          <w:lang w:eastAsia="pl-PL"/>
        </w:rPr>
        <w:t xml:space="preserve"> </w:t>
      </w:r>
      <w:r w:rsidRPr="00996902">
        <w:rPr>
          <w:rFonts w:ascii="Times New Roman" w:eastAsia="Times New Roman" w:hAnsi="Times New Roman" w:cs="Times New Roman"/>
          <w:sz w:val="24"/>
          <w:szCs w:val="24"/>
          <w:lang w:eastAsia="pl-PL"/>
        </w:rPr>
        <w:t>9.  Wydatki budżetu gminy Góra Kalwaria  na tle dochodów w latach 2014-2022</w:t>
      </w:r>
    </w:p>
    <w:p w14:paraId="1B75D59A" w14:textId="77777777" w:rsidR="006B6EE8" w:rsidRPr="00996902" w:rsidRDefault="006B6EE8" w:rsidP="00996902">
      <w:pPr>
        <w:spacing w:after="0" w:line="276" w:lineRule="auto"/>
        <w:ind w:left="851" w:hanging="851"/>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Ryc.10.  Struktura wydatków gminy Góra Kalwaria w latach 2014-2022 (w %)</w:t>
      </w:r>
    </w:p>
    <w:p w14:paraId="129031B7" w14:textId="77777777" w:rsidR="006B6EE8" w:rsidRPr="00996902" w:rsidRDefault="006B6EE8" w:rsidP="00996902">
      <w:pPr>
        <w:spacing w:after="0" w:line="276" w:lineRule="auto"/>
        <w:ind w:left="851" w:hanging="851"/>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 xml:space="preserve">Ryc. 11.  Struktura wydatków bieżących gminy Góra Kalwaria w latach 2014-2022 </w:t>
      </w:r>
    </w:p>
    <w:p w14:paraId="40CFF8DF" w14:textId="06F2D87F" w:rsidR="006B6EE8" w:rsidRPr="00CE1397" w:rsidRDefault="006B6EE8" w:rsidP="00996902">
      <w:pPr>
        <w:spacing w:after="0" w:line="276" w:lineRule="auto"/>
        <w:ind w:left="851" w:hanging="851"/>
        <w:jc w:val="both"/>
        <w:rPr>
          <w:rFonts w:ascii="Times New Roman" w:eastAsia="Times New Roman" w:hAnsi="Times New Roman" w:cs="Times New Roman"/>
          <w:sz w:val="24"/>
          <w:szCs w:val="24"/>
          <w:lang w:eastAsia="pl-PL"/>
        </w:rPr>
      </w:pPr>
      <w:r w:rsidRPr="00CE1397">
        <w:rPr>
          <w:rFonts w:ascii="Times New Roman" w:eastAsia="Times New Roman" w:hAnsi="Times New Roman" w:cs="Times New Roman"/>
          <w:sz w:val="24"/>
          <w:szCs w:val="24"/>
          <w:lang w:eastAsia="pl-PL"/>
        </w:rPr>
        <w:t>Ryc.</w:t>
      </w:r>
      <w:r w:rsidR="00996902">
        <w:rPr>
          <w:rFonts w:ascii="Times New Roman" w:eastAsia="Times New Roman" w:hAnsi="Times New Roman" w:cs="Times New Roman"/>
          <w:sz w:val="24"/>
          <w:szCs w:val="24"/>
          <w:lang w:eastAsia="pl-PL"/>
        </w:rPr>
        <w:t xml:space="preserve"> </w:t>
      </w:r>
      <w:r w:rsidRPr="00CE1397">
        <w:rPr>
          <w:rFonts w:ascii="Times New Roman" w:eastAsia="Times New Roman" w:hAnsi="Times New Roman" w:cs="Times New Roman"/>
          <w:sz w:val="24"/>
          <w:szCs w:val="24"/>
          <w:lang w:eastAsia="pl-PL"/>
        </w:rPr>
        <w:t>12.  Wydatki inwestycyjne budżetu gminy Góra Kalwaria w latach 2014-2022 w zł.</w:t>
      </w:r>
    </w:p>
    <w:p w14:paraId="058B501E" w14:textId="77777777" w:rsidR="006B6EE8" w:rsidRPr="00996902" w:rsidRDefault="006B6EE8" w:rsidP="00996902">
      <w:pPr>
        <w:spacing w:after="0" w:line="276" w:lineRule="auto"/>
        <w:ind w:left="851" w:hanging="851"/>
        <w:jc w:val="both"/>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 13.</w:t>
      </w:r>
      <w:r w:rsidRPr="00996902">
        <w:rPr>
          <w:rFonts w:ascii="Times New Roman" w:eastAsia="Calibri" w:hAnsi="Times New Roman" w:cs="Times New Roman"/>
          <w:color w:val="424242"/>
          <w:kern w:val="24"/>
          <w:sz w:val="24"/>
          <w:szCs w:val="24"/>
          <w:lang w:eastAsia="pl-PL"/>
        </w:rPr>
        <w:t xml:space="preserve"> </w:t>
      </w:r>
      <w:r w:rsidRPr="00996902">
        <w:rPr>
          <w:rFonts w:ascii="Times New Roman" w:eastAsia="Times New Roman" w:hAnsi="Times New Roman" w:cs="Times New Roman"/>
          <w:sz w:val="24"/>
          <w:szCs w:val="24"/>
          <w:lang w:eastAsia="pl-PL"/>
        </w:rPr>
        <w:t>Struktura wydatków inwestycyjnych gminy Góra Kalwaria w latach 2014-2022</w:t>
      </w:r>
    </w:p>
    <w:p w14:paraId="4C8D3EDA" w14:textId="77777777" w:rsidR="006B6EE8" w:rsidRPr="00996902" w:rsidRDefault="006B6EE8" w:rsidP="00996902">
      <w:pPr>
        <w:tabs>
          <w:tab w:val="left" w:pos="0"/>
          <w:tab w:val="left" w:pos="1440"/>
        </w:tabs>
        <w:spacing w:after="0" w:line="276" w:lineRule="auto"/>
        <w:ind w:left="851" w:hanging="851"/>
        <w:jc w:val="both"/>
        <w:rPr>
          <w:rFonts w:ascii="Times New Roman" w:eastAsia="Times New Roman" w:hAnsi="Times New Roman" w:cs="Times New Roman"/>
          <w:sz w:val="24"/>
          <w:szCs w:val="24"/>
          <w:lang w:eastAsia="pl-PL"/>
        </w:rPr>
      </w:pPr>
      <w:r w:rsidRPr="00996902">
        <w:rPr>
          <w:rFonts w:ascii="Times New Roman" w:eastAsia="Times New Roman" w:hAnsi="Times New Roman" w:cs="Times New Roman"/>
          <w:sz w:val="24"/>
          <w:szCs w:val="24"/>
          <w:lang w:eastAsia="pl-PL"/>
        </w:rPr>
        <w:t>Ryc. 14 Wynik finansowy gminy Góra Kalwaria w latach 2014-2022 w zł.</w:t>
      </w:r>
    </w:p>
    <w:p w14:paraId="61B114A0" w14:textId="77777777" w:rsidR="006B6EE8" w:rsidRPr="00996902" w:rsidRDefault="006B6EE8" w:rsidP="00996902">
      <w:pPr>
        <w:tabs>
          <w:tab w:val="left" w:pos="0"/>
          <w:tab w:val="left" w:pos="9936"/>
          <w:tab w:val="left" w:pos="10080"/>
        </w:tabs>
        <w:spacing w:after="0" w:line="276" w:lineRule="auto"/>
        <w:ind w:left="851" w:hanging="851"/>
        <w:jc w:val="both"/>
        <w:rPr>
          <w:rFonts w:ascii="Times New Roman" w:eastAsia="Times New Roman" w:hAnsi="Times New Roman" w:cs="Times New Roman"/>
          <w:bCs/>
          <w:sz w:val="24"/>
          <w:szCs w:val="24"/>
          <w:lang w:eastAsia="pl-PL"/>
        </w:rPr>
      </w:pPr>
      <w:r w:rsidRPr="00996902">
        <w:rPr>
          <w:rFonts w:ascii="Times New Roman" w:eastAsia="Times New Roman" w:hAnsi="Times New Roman" w:cs="Times New Roman"/>
          <w:bCs/>
          <w:sz w:val="24"/>
          <w:szCs w:val="24"/>
          <w:lang w:eastAsia="pl-PL"/>
        </w:rPr>
        <w:t>Ryc. 15. Prognozowane przepływy finansowe gminy Góra Kalwaria – zgodnie z Wieloletnia Prognozą Finansową</w:t>
      </w:r>
    </w:p>
    <w:p w14:paraId="61711963" w14:textId="77777777" w:rsidR="006B6EE8" w:rsidRPr="00996902" w:rsidRDefault="006B6EE8" w:rsidP="00996902">
      <w:pPr>
        <w:spacing w:after="0" w:line="276" w:lineRule="auto"/>
        <w:jc w:val="both"/>
        <w:rPr>
          <w:rFonts w:ascii="Times New Roman" w:eastAsia="Times New Roman" w:hAnsi="Times New Roman" w:cs="Times New Roman"/>
          <w:i/>
          <w:iCs/>
          <w:sz w:val="24"/>
          <w:szCs w:val="24"/>
          <w:lang w:eastAsia="pl-PL"/>
        </w:rPr>
      </w:pPr>
    </w:p>
    <w:p w14:paraId="4AE7CDF2" w14:textId="77777777" w:rsidR="006B6EE8" w:rsidRPr="00996902" w:rsidRDefault="006B6EE8" w:rsidP="00996902">
      <w:pPr>
        <w:spacing w:after="0" w:line="276" w:lineRule="auto"/>
        <w:rPr>
          <w:rFonts w:ascii="Times New Roman" w:hAnsi="Times New Roman" w:cs="Times New Roman"/>
          <w:sz w:val="24"/>
          <w:szCs w:val="24"/>
        </w:rPr>
      </w:pPr>
    </w:p>
    <w:p w14:paraId="0BEA8A38" w14:textId="2C3D9368" w:rsidR="006B6EE8" w:rsidRDefault="006B6EE8" w:rsidP="00996902">
      <w:pPr>
        <w:spacing w:after="0" w:line="276" w:lineRule="auto"/>
        <w:rPr>
          <w:rFonts w:ascii="Times New Roman" w:hAnsi="Times New Roman" w:cs="Times New Roman"/>
          <w:sz w:val="24"/>
          <w:szCs w:val="24"/>
        </w:rPr>
      </w:pPr>
    </w:p>
    <w:p w14:paraId="514CC550" w14:textId="093A6150" w:rsidR="00F206D5" w:rsidRDefault="00F206D5" w:rsidP="00996902">
      <w:pPr>
        <w:spacing w:after="0" w:line="276" w:lineRule="auto"/>
        <w:rPr>
          <w:rFonts w:ascii="Times New Roman" w:hAnsi="Times New Roman" w:cs="Times New Roman"/>
          <w:sz w:val="24"/>
          <w:szCs w:val="24"/>
        </w:rPr>
      </w:pPr>
    </w:p>
    <w:p w14:paraId="1FB3E5F9" w14:textId="538A45DE" w:rsidR="00F206D5" w:rsidRDefault="00F206D5" w:rsidP="00996902">
      <w:pPr>
        <w:spacing w:after="0" w:line="276" w:lineRule="auto"/>
        <w:rPr>
          <w:rFonts w:ascii="Times New Roman" w:hAnsi="Times New Roman" w:cs="Times New Roman"/>
          <w:sz w:val="24"/>
          <w:szCs w:val="24"/>
        </w:rPr>
      </w:pPr>
    </w:p>
    <w:p w14:paraId="7AA72944" w14:textId="79E70AD0" w:rsidR="00F206D5" w:rsidRDefault="00F206D5" w:rsidP="00996902">
      <w:pPr>
        <w:spacing w:after="0" w:line="276" w:lineRule="auto"/>
        <w:rPr>
          <w:rFonts w:ascii="Times New Roman" w:hAnsi="Times New Roman" w:cs="Times New Roman"/>
          <w:sz w:val="24"/>
          <w:szCs w:val="24"/>
        </w:rPr>
      </w:pPr>
    </w:p>
    <w:p w14:paraId="2F96CA2B" w14:textId="46D6B028" w:rsidR="00F206D5" w:rsidRDefault="00F206D5" w:rsidP="00996902">
      <w:pPr>
        <w:spacing w:after="0" w:line="276" w:lineRule="auto"/>
        <w:rPr>
          <w:rFonts w:ascii="Times New Roman" w:hAnsi="Times New Roman" w:cs="Times New Roman"/>
          <w:sz w:val="24"/>
          <w:szCs w:val="24"/>
        </w:rPr>
      </w:pPr>
    </w:p>
    <w:p w14:paraId="3530D4E2" w14:textId="2D63C096" w:rsidR="00F206D5" w:rsidRDefault="00F206D5" w:rsidP="00996902">
      <w:pPr>
        <w:spacing w:after="0" w:line="276" w:lineRule="auto"/>
        <w:rPr>
          <w:rFonts w:ascii="Times New Roman" w:hAnsi="Times New Roman" w:cs="Times New Roman"/>
          <w:sz w:val="24"/>
          <w:szCs w:val="24"/>
        </w:rPr>
      </w:pPr>
    </w:p>
    <w:p w14:paraId="66E01634" w14:textId="3DC0AF51" w:rsidR="00F206D5" w:rsidRDefault="00F206D5" w:rsidP="00996902">
      <w:pPr>
        <w:spacing w:after="0" w:line="276" w:lineRule="auto"/>
        <w:rPr>
          <w:rFonts w:ascii="Times New Roman" w:hAnsi="Times New Roman" w:cs="Times New Roman"/>
          <w:sz w:val="24"/>
          <w:szCs w:val="24"/>
        </w:rPr>
      </w:pPr>
    </w:p>
    <w:p w14:paraId="24129BE1" w14:textId="78F2DE54" w:rsidR="00F206D5" w:rsidRDefault="00F206D5" w:rsidP="00996902">
      <w:pPr>
        <w:spacing w:after="0" w:line="276" w:lineRule="auto"/>
        <w:rPr>
          <w:rFonts w:ascii="Times New Roman" w:hAnsi="Times New Roman" w:cs="Times New Roman"/>
          <w:sz w:val="24"/>
          <w:szCs w:val="24"/>
        </w:rPr>
      </w:pPr>
    </w:p>
    <w:p w14:paraId="18482352" w14:textId="227FBC5C" w:rsidR="00F206D5" w:rsidRDefault="00F206D5" w:rsidP="00996902">
      <w:pPr>
        <w:spacing w:after="0" w:line="276" w:lineRule="auto"/>
        <w:rPr>
          <w:rFonts w:ascii="Times New Roman" w:hAnsi="Times New Roman" w:cs="Times New Roman"/>
          <w:sz w:val="24"/>
          <w:szCs w:val="24"/>
        </w:rPr>
      </w:pPr>
    </w:p>
    <w:p w14:paraId="1969D869" w14:textId="0C9FF676" w:rsidR="00F206D5" w:rsidRDefault="00F206D5" w:rsidP="00996902">
      <w:pPr>
        <w:spacing w:after="0" w:line="276" w:lineRule="auto"/>
        <w:rPr>
          <w:rFonts w:ascii="Times New Roman" w:hAnsi="Times New Roman" w:cs="Times New Roman"/>
          <w:sz w:val="24"/>
          <w:szCs w:val="24"/>
        </w:rPr>
      </w:pPr>
    </w:p>
    <w:p w14:paraId="6FBEB6D3" w14:textId="0278B212" w:rsidR="00F206D5" w:rsidRDefault="00F206D5" w:rsidP="00996902">
      <w:pPr>
        <w:spacing w:after="0" w:line="276" w:lineRule="auto"/>
        <w:rPr>
          <w:rFonts w:ascii="Times New Roman" w:hAnsi="Times New Roman" w:cs="Times New Roman"/>
          <w:sz w:val="24"/>
          <w:szCs w:val="24"/>
        </w:rPr>
      </w:pPr>
    </w:p>
    <w:p w14:paraId="6B5401ED" w14:textId="10DAD372" w:rsidR="00F206D5" w:rsidRDefault="00F206D5" w:rsidP="00996902">
      <w:pPr>
        <w:spacing w:after="0" w:line="276" w:lineRule="auto"/>
        <w:rPr>
          <w:rFonts w:ascii="Times New Roman" w:hAnsi="Times New Roman" w:cs="Times New Roman"/>
          <w:sz w:val="24"/>
          <w:szCs w:val="24"/>
        </w:rPr>
      </w:pPr>
    </w:p>
    <w:p w14:paraId="35EE67A6" w14:textId="160B1DBB" w:rsidR="00F206D5" w:rsidRDefault="00F206D5" w:rsidP="00996902">
      <w:pPr>
        <w:spacing w:after="0" w:line="276" w:lineRule="auto"/>
        <w:rPr>
          <w:rFonts w:ascii="Times New Roman" w:hAnsi="Times New Roman" w:cs="Times New Roman"/>
          <w:sz w:val="24"/>
          <w:szCs w:val="24"/>
        </w:rPr>
      </w:pPr>
    </w:p>
    <w:p w14:paraId="43803AEB" w14:textId="296114C0" w:rsidR="00F206D5" w:rsidRDefault="00F206D5" w:rsidP="00996902">
      <w:pPr>
        <w:spacing w:after="0" w:line="276" w:lineRule="auto"/>
        <w:rPr>
          <w:rFonts w:ascii="Times New Roman" w:hAnsi="Times New Roman" w:cs="Times New Roman"/>
          <w:sz w:val="24"/>
          <w:szCs w:val="24"/>
        </w:rPr>
      </w:pPr>
    </w:p>
    <w:p w14:paraId="0C65D941" w14:textId="3A4C3B60" w:rsidR="00F206D5" w:rsidRDefault="00F206D5" w:rsidP="00996902">
      <w:pPr>
        <w:spacing w:after="0" w:line="276" w:lineRule="auto"/>
        <w:rPr>
          <w:rFonts w:ascii="Times New Roman" w:hAnsi="Times New Roman" w:cs="Times New Roman"/>
          <w:sz w:val="24"/>
          <w:szCs w:val="24"/>
        </w:rPr>
      </w:pPr>
    </w:p>
    <w:p w14:paraId="198EA486" w14:textId="104A6992" w:rsidR="00F206D5" w:rsidRDefault="00F206D5" w:rsidP="00996902">
      <w:pPr>
        <w:spacing w:after="0" w:line="276" w:lineRule="auto"/>
        <w:rPr>
          <w:rFonts w:ascii="Times New Roman" w:hAnsi="Times New Roman" w:cs="Times New Roman"/>
          <w:sz w:val="24"/>
          <w:szCs w:val="24"/>
        </w:rPr>
      </w:pPr>
    </w:p>
    <w:p w14:paraId="11C0C50F" w14:textId="2B547AB6" w:rsidR="00F206D5" w:rsidRDefault="00F206D5" w:rsidP="00996902">
      <w:pPr>
        <w:spacing w:after="0" w:line="276" w:lineRule="auto"/>
        <w:rPr>
          <w:rFonts w:ascii="Times New Roman" w:hAnsi="Times New Roman" w:cs="Times New Roman"/>
          <w:sz w:val="24"/>
          <w:szCs w:val="24"/>
        </w:rPr>
      </w:pPr>
    </w:p>
    <w:p w14:paraId="62F45CAD" w14:textId="53943A67" w:rsidR="00F206D5" w:rsidRDefault="00F206D5" w:rsidP="00996902">
      <w:pPr>
        <w:spacing w:after="0" w:line="276" w:lineRule="auto"/>
        <w:rPr>
          <w:rFonts w:ascii="Times New Roman" w:hAnsi="Times New Roman" w:cs="Times New Roman"/>
          <w:sz w:val="24"/>
          <w:szCs w:val="24"/>
        </w:rPr>
      </w:pPr>
    </w:p>
    <w:p w14:paraId="78916E49" w14:textId="7E40E3CC" w:rsidR="00F206D5" w:rsidRDefault="00F206D5" w:rsidP="00996902">
      <w:pPr>
        <w:spacing w:after="0" w:line="276" w:lineRule="auto"/>
        <w:rPr>
          <w:rFonts w:ascii="Times New Roman" w:hAnsi="Times New Roman" w:cs="Times New Roman"/>
          <w:sz w:val="24"/>
          <w:szCs w:val="24"/>
        </w:rPr>
      </w:pPr>
    </w:p>
    <w:p w14:paraId="1A6FFDED" w14:textId="556D2777" w:rsidR="00F206D5" w:rsidRDefault="00F206D5" w:rsidP="00996902">
      <w:pPr>
        <w:spacing w:after="0" w:line="276" w:lineRule="auto"/>
        <w:rPr>
          <w:rFonts w:ascii="Times New Roman" w:hAnsi="Times New Roman" w:cs="Times New Roman"/>
          <w:sz w:val="24"/>
          <w:szCs w:val="24"/>
        </w:rPr>
      </w:pPr>
    </w:p>
    <w:p w14:paraId="578FED2D" w14:textId="478AB53C" w:rsidR="00F206D5" w:rsidRDefault="00F206D5" w:rsidP="00996902">
      <w:pPr>
        <w:spacing w:after="0" w:line="276" w:lineRule="auto"/>
        <w:rPr>
          <w:rFonts w:ascii="Times New Roman" w:hAnsi="Times New Roman" w:cs="Times New Roman"/>
          <w:sz w:val="24"/>
          <w:szCs w:val="24"/>
        </w:rPr>
      </w:pPr>
    </w:p>
    <w:p w14:paraId="2F578921" w14:textId="4C3471A8" w:rsidR="00F206D5" w:rsidRDefault="00F206D5" w:rsidP="00996902">
      <w:pPr>
        <w:spacing w:after="0" w:line="276" w:lineRule="auto"/>
        <w:rPr>
          <w:rFonts w:ascii="Times New Roman" w:hAnsi="Times New Roman" w:cs="Times New Roman"/>
          <w:sz w:val="24"/>
          <w:szCs w:val="24"/>
        </w:rPr>
      </w:pPr>
    </w:p>
    <w:p w14:paraId="12F91C7D" w14:textId="79C6B4CF" w:rsidR="00F206D5" w:rsidRDefault="00F206D5" w:rsidP="00996902">
      <w:pPr>
        <w:spacing w:after="0" w:line="276" w:lineRule="auto"/>
        <w:rPr>
          <w:rFonts w:ascii="Times New Roman" w:hAnsi="Times New Roman" w:cs="Times New Roman"/>
          <w:sz w:val="24"/>
          <w:szCs w:val="24"/>
        </w:rPr>
      </w:pPr>
    </w:p>
    <w:p w14:paraId="57135B64" w14:textId="1CA5DE47" w:rsidR="00F206D5" w:rsidRDefault="00F206D5" w:rsidP="00996902">
      <w:pPr>
        <w:spacing w:after="0" w:line="276" w:lineRule="auto"/>
        <w:rPr>
          <w:rFonts w:ascii="Times New Roman" w:hAnsi="Times New Roman" w:cs="Times New Roman"/>
          <w:sz w:val="24"/>
          <w:szCs w:val="24"/>
        </w:rPr>
      </w:pPr>
    </w:p>
    <w:p w14:paraId="224D0031" w14:textId="77777777" w:rsidR="00F206D5" w:rsidRPr="00996902" w:rsidRDefault="00F206D5" w:rsidP="00996902">
      <w:pPr>
        <w:spacing w:after="0" w:line="276" w:lineRule="auto"/>
        <w:rPr>
          <w:rFonts w:ascii="Times New Roman" w:hAnsi="Times New Roman" w:cs="Times New Roman"/>
          <w:sz w:val="24"/>
          <w:szCs w:val="24"/>
        </w:rPr>
      </w:pPr>
    </w:p>
    <w:sectPr w:rsidR="00F206D5" w:rsidRPr="00996902" w:rsidSect="00020C8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1D0A04" w14:textId="77777777" w:rsidR="00B06993" w:rsidRDefault="00B06993" w:rsidP="00433030">
      <w:pPr>
        <w:spacing w:after="0" w:line="240" w:lineRule="auto"/>
      </w:pPr>
      <w:r>
        <w:separator/>
      </w:r>
    </w:p>
  </w:endnote>
  <w:endnote w:type="continuationSeparator" w:id="0">
    <w:p w14:paraId="5009F891" w14:textId="77777777" w:rsidR="00B06993" w:rsidRDefault="00B06993" w:rsidP="004330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entury Schoolbook">
    <w:panose1 w:val="02040604050505020304"/>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Bangkok">
    <w:altName w:val="Times New Roman"/>
    <w:charset w:val="00"/>
    <w:family w:val="auto"/>
    <w:pitch w:val="variable"/>
    <w:sig w:usb0="00000007" w:usb1="00000000" w:usb2="00000000" w:usb3="00000000" w:csb0="00000003" w:csb1="00000000"/>
  </w:font>
  <w:font w:name="Bookman Old Style">
    <w:panose1 w:val="02050604050505020204"/>
    <w:charset w:val="EE"/>
    <w:family w:val="roman"/>
    <w:pitch w:val="variable"/>
    <w:sig w:usb0="00000287" w:usb1="00000000" w:usb2="00000000" w:usb3="00000000" w:csb0="0000009F" w:csb1="00000000"/>
  </w:font>
  <w:font w:name="Microsoft Sans Serif">
    <w:panose1 w:val="020B0604020202020204"/>
    <w:charset w:val="EE"/>
    <w:family w:val="swiss"/>
    <w:pitch w:val="variable"/>
    <w:sig w:usb0="E5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rebuchet MS">
    <w:panose1 w:val="020B0603020202020204"/>
    <w:charset w:val="EE"/>
    <w:family w:val="swiss"/>
    <w:pitch w:val="variable"/>
    <w:sig w:usb0="00000687" w:usb1="00000000" w:usb2="00000000" w:usb3="00000000" w:csb0="0000009F" w:csb1="00000000"/>
  </w:font>
  <w:font w:name="Franklin Gothic Heavy">
    <w:panose1 w:val="020B0903020102020204"/>
    <w:charset w:val="EE"/>
    <w:family w:val="swiss"/>
    <w:pitch w:val="variable"/>
    <w:sig w:usb0="00000287" w:usb1="00000000" w:usb2="00000000" w:usb3="00000000" w:csb0="0000009F" w:csb1="00000000"/>
  </w:font>
  <w:font w:name="Myriad Pro">
    <w:altName w:val="Arial"/>
    <w:panose1 w:val="00000000000000000000"/>
    <w:charset w:val="00"/>
    <w:family w:val="swiss"/>
    <w:notTrueType/>
    <w:pitch w:val="default"/>
    <w:sig w:usb0="00000001" w:usb1="00000000" w:usb2="00000000" w:usb3="00000000" w:csb0="00000003" w:csb1="00000000"/>
  </w:font>
  <w:font w:name="Myriad Pro Light">
    <w:altName w:val="Myriad Pro Light"/>
    <w:panose1 w:val="00000000000000000000"/>
    <w:charset w:val="EE"/>
    <w:family w:val="swiss"/>
    <w:notTrueType/>
    <w:pitch w:val="default"/>
    <w:sig w:usb0="00000007" w:usb1="00000000" w:usb2="00000000" w:usb3="00000000" w:csb0="00000003"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DC7A6" w14:textId="77777777" w:rsidR="00EE6A47" w:rsidRDefault="00EE6A47">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A613B" w14:textId="77777777" w:rsidR="008C584A" w:rsidRDefault="008C584A" w:rsidP="0068053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58</w:t>
    </w:r>
    <w:r>
      <w:rPr>
        <w:rStyle w:val="Numerstrony"/>
      </w:rPr>
      <w:fldChar w:fldCharType="end"/>
    </w:r>
  </w:p>
  <w:p w14:paraId="65D0E847" w14:textId="77777777" w:rsidR="008C584A" w:rsidRDefault="008C584A">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261750"/>
      <w:docPartObj>
        <w:docPartGallery w:val="Page Numbers (Bottom of Page)"/>
        <w:docPartUnique/>
      </w:docPartObj>
    </w:sdtPr>
    <w:sdtContent>
      <w:p w14:paraId="62AF1511" w14:textId="6820ED2D" w:rsidR="006350A3" w:rsidRDefault="006350A3">
        <w:pPr>
          <w:pStyle w:val="Stopka"/>
          <w:jc w:val="center"/>
        </w:pPr>
        <w:r>
          <w:fldChar w:fldCharType="begin"/>
        </w:r>
        <w:r>
          <w:instrText>PAGE   \* MERGEFORMAT</w:instrText>
        </w:r>
        <w:r>
          <w:fldChar w:fldCharType="separate"/>
        </w:r>
        <w:r>
          <w:t>2</w:t>
        </w:r>
        <w:r>
          <w:fldChar w:fldCharType="end"/>
        </w:r>
      </w:p>
    </w:sdtContent>
  </w:sdt>
  <w:p w14:paraId="3423BB81" w14:textId="77777777" w:rsidR="00EF1A17" w:rsidRDefault="00EF1A17">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8D004" w14:textId="4E08276A" w:rsidR="000B14C0" w:rsidRDefault="000B14C0" w:rsidP="004E4381">
    <w:pPr>
      <w:pStyle w:val="Stopka"/>
    </w:pPr>
  </w:p>
  <w:p w14:paraId="0BC89939" w14:textId="77777777" w:rsidR="00AF5D3A" w:rsidRDefault="00AF5D3A">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7D63E" w14:textId="77777777" w:rsidR="008C584A" w:rsidRDefault="008C584A" w:rsidP="0068053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0B82F6AC" w14:textId="77777777" w:rsidR="008C584A" w:rsidRDefault="008C584A">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9C900" w14:textId="77777777" w:rsidR="008C584A" w:rsidRDefault="008C584A">
    <w:pPr>
      <w:pStyle w:val="Stopka"/>
      <w:jc w:val="center"/>
    </w:pPr>
    <w:r>
      <w:fldChar w:fldCharType="begin"/>
    </w:r>
    <w:r>
      <w:instrText>PAGE   \* MERGEFORMAT</w:instrText>
    </w:r>
    <w:r>
      <w:fldChar w:fldCharType="separate"/>
    </w:r>
    <w:r>
      <w:t>2</w:t>
    </w:r>
    <w:r>
      <w:fldChar w:fldCharType="end"/>
    </w:r>
  </w:p>
  <w:p w14:paraId="19910A26" w14:textId="77777777" w:rsidR="008C584A" w:rsidRDefault="008C584A">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6138328"/>
      <w:docPartObj>
        <w:docPartGallery w:val="Page Numbers (Bottom of Page)"/>
        <w:docPartUnique/>
      </w:docPartObj>
    </w:sdtPr>
    <w:sdtContent>
      <w:p w14:paraId="36201CD0" w14:textId="2F3B87E2" w:rsidR="003F13DF" w:rsidRDefault="003F13DF">
        <w:pPr>
          <w:pStyle w:val="Stopka"/>
          <w:jc w:val="center"/>
        </w:pPr>
        <w:r>
          <w:fldChar w:fldCharType="begin"/>
        </w:r>
        <w:r>
          <w:instrText>PAGE   \* MERGEFORMAT</w:instrText>
        </w:r>
        <w:r>
          <w:fldChar w:fldCharType="separate"/>
        </w:r>
        <w:r>
          <w:t>2</w:t>
        </w:r>
        <w:r>
          <w:fldChar w:fldCharType="end"/>
        </w:r>
      </w:p>
    </w:sdtContent>
  </w:sdt>
  <w:p w14:paraId="321550B5" w14:textId="77777777" w:rsidR="008C584A" w:rsidRDefault="008C584A">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A976D" w14:textId="77777777" w:rsidR="008C584A" w:rsidRDefault="008C584A" w:rsidP="0068053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768FFBBF" w14:textId="77777777" w:rsidR="008C584A" w:rsidRDefault="008C584A">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85C64" w14:textId="77777777" w:rsidR="008C584A" w:rsidRDefault="008C584A" w:rsidP="0068053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58</w:t>
    </w:r>
    <w:r>
      <w:rPr>
        <w:rStyle w:val="Numerstrony"/>
      </w:rPr>
      <w:fldChar w:fldCharType="end"/>
    </w:r>
  </w:p>
  <w:p w14:paraId="030D47CA" w14:textId="77777777" w:rsidR="008C584A" w:rsidRDefault="008C584A">
    <w:pPr>
      <w:pStyle w:val="Stopk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D4571" w14:textId="77777777" w:rsidR="008C584A" w:rsidRDefault="008C584A" w:rsidP="0068053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23</w:t>
    </w:r>
    <w:r>
      <w:rPr>
        <w:rStyle w:val="Numerstrony"/>
      </w:rPr>
      <w:fldChar w:fldCharType="end"/>
    </w:r>
  </w:p>
  <w:p w14:paraId="45EDB4A7" w14:textId="77777777" w:rsidR="008C584A" w:rsidRDefault="008C584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B727F" w14:textId="77777777" w:rsidR="00B06993" w:rsidRDefault="00B06993" w:rsidP="00433030">
      <w:pPr>
        <w:spacing w:after="0" w:line="240" w:lineRule="auto"/>
      </w:pPr>
      <w:r>
        <w:separator/>
      </w:r>
    </w:p>
  </w:footnote>
  <w:footnote w:type="continuationSeparator" w:id="0">
    <w:p w14:paraId="3B38635B" w14:textId="77777777" w:rsidR="00B06993" w:rsidRDefault="00B06993" w:rsidP="00433030">
      <w:pPr>
        <w:spacing w:after="0" w:line="240" w:lineRule="auto"/>
      </w:pPr>
      <w:r>
        <w:continuationSeparator/>
      </w:r>
    </w:p>
  </w:footnote>
  <w:footnote w:id="1">
    <w:p w14:paraId="40BD63A5" w14:textId="77777777" w:rsidR="00EF1A17" w:rsidRPr="00BD5DD8" w:rsidRDefault="00EF1A17" w:rsidP="00EF1A17">
      <w:pPr>
        <w:pStyle w:val="Default"/>
        <w:jc w:val="both"/>
        <w:rPr>
          <w:rFonts w:ascii="Times New Roman" w:hAnsi="Times New Roman" w:cs="Times New Roman"/>
          <w:sz w:val="20"/>
          <w:szCs w:val="20"/>
        </w:rPr>
      </w:pPr>
      <w:r w:rsidRPr="00BD5DD8">
        <w:rPr>
          <w:rStyle w:val="Odwoanieprzypisudolnego"/>
          <w:rFonts w:ascii="Times New Roman" w:hAnsi="Times New Roman" w:cs="Times New Roman"/>
          <w:sz w:val="20"/>
          <w:szCs w:val="20"/>
        </w:rPr>
        <w:footnoteRef/>
      </w:r>
      <w:r w:rsidRPr="00BD5DD8">
        <w:rPr>
          <w:rFonts w:ascii="Times New Roman" w:hAnsi="Times New Roman" w:cs="Times New Roman"/>
          <w:sz w:val="20"/>
          <w:szCs w:val="20"/>
        </w:rPr>
        <w:t xml:space="preserve"> Por. </w:t>
      </w:r>
      <w:r w:rsidRPr="00BD5DD8">
        <w:rPr>
          <w:rFonts w:ascii="Times New Roman" w:hAnsi="Times New Roman" w:cs="Times New Roman"/>
          <w:bCs/>
          <w:sz w:val="20"/>
          <w:szCs w:val="20"/>
        </w:rPr>
        <w:t xml:space="preserve">Państwowy Instytut Geologiczny. Państwowy Instytut Badawczy. </w:t>
      </w:r>
      <w:r w:rsidRPr="00BD5DD8">
        <w:rPr>
          <w:rFonts w:ascii="Times New Roman" w:hAnsi="Times New Roman" w:cs="Times New Roman"/>
          <w:sz w:val="20"/>
          <w:szCs w:val="20"/>
        </w:rPr>
        <w:t xml:space="preserve">Opracowanie zamówione przez Ministra Środowiska </w:t>
      </w:r>
      <w:r w:rsidRPr="00BD5DD8">
        <w:rPr>
          <w:rFonts w:ascii="Times New Roman" w:hAnsi="Times New Roman" w:cs="Times New Roman"/>
          <w:bCs/>
          <w:sz w:val="20"/>
          <w:szCs w:val="20"/>
        </w:rPr>
        <w:t xml:space="preserve">Objaśnienia do Mapy Geośrodowiskowej Polski, 1:50 000 Arkusz Góra Kalwaria (597), </w:t>
      </w:r>
      <w:r w:rsidRPr="00BD5DD8">
        <w:rPr>
          <w:rFonts w:ascii="Times New Roman" w:hAnsi="Times New Roman" w:cs="Times New Roman"/>
          <w:sz w:val="20"/>
          <w:szCs w:val="20"/>
        </w:rPr>
        <w:t>Warszawa 2010</w:t>
      </w:r>
    </w:p>
    <w:p w14:paraId="3CA4834A" w14:textId="77777777" w:rsidR="00EF1A17" w:rsidRPr="00BD5DD8" w:rsidRDefault="00EF1A17" w:rsidP="00EF1A17">
      <w:pPr>
        <w:pStyle w:val="Tekstprzypisudolnego"/>
        <w:jc w:val="both"/>
        <w:rPr>
          <w:rFonts w:ascii="Times New Roman" w:hAnsi="Times New Roman" w:cs="Times New Roman"/>
        </w:rPr>
      </w:pPr>
    </w:p>
  </w:footnote>
  <w:footnote w:id="2">
    <w:p w14:paraId="2F184BDF" w14:textId="246820DB" w:rsidR="00EF1A17" w:rsidRPr="00BD5DD8" w:rsidRDefault="00EF1A17" w:rsidP="00EF1A17">
      <w:pPr>
        <w:pStyle w:val="Tekstprzypisudolnego"/>
        <w:jc w:val="both"/>
        <w:rPr>
          <w:rFonts w:ascii="Times New Roman" w:hAnsi="Times New Roman" w:cs="Times New Roman"/>
        </w:rPr>
      </w:pPr>
      <w:r w:rsidRPr="00BD5DD8">
        <w:rPr>
          <w:rStyle w:val="Odwoanieprzypisudolnego"/>
          <w:rFonts w:ascii="Times New Roman" w:hAnsi="Times New Roman" w:cs="Times New Roman"/>
        </w:rPr>
        <w:footnoteRef/>
      </w:r>
      <w:r w:rsidRPr="00BD5DD8">
        <w:rPr>
          <w:rFonts w:ascii="Times New Roman" w:hAnsi="Times New Roman" w:cs="Times New Roman"/>
        </w:rPr>
        <w:t xml:space="preserve"> </w:t>
      </w:r>
      <w:r>
        <w:rPr>
          <w:rFonts w:ascii="Times New Roman" w:hAnsi="Times New Roman" w:cs="Times New Roman"/>
        </w:rPr>
        <w:t>Uwaga</w:t>
      </w:r>
      <w:r w:rsidR="000B14C0">
        <w:rPr>
          <w:rFonts w:ascii="Times New Roman" w:hAnsi="Times New Roman" w:cs="Times New Roman"/>
        </w:rPr>
        <w:t>:</w:t>
      </w:r>
      <w:r>
        <w:rPr>
          <w:rFonts w:ascii="Times New Roman" w:hAnsi="Times New Roman" w:cs="Times New Roman"/>
        </w:rPr>
        <w:t xml:space="preserve"> </w:t>
      </w:r>
      <w:r w:rsidRPr="00BD5DD8">
        <w:rPr>
          <w:rFonts w:ascii="Times New Roman" w:hAnsi="Times New Roman" w:cs="Times New Roman"/>
        </w:rPr>
        <w:t>W przywoływanych założeniach sformułowanych w „</w:t>
      </w:r>
      <w:r w:rsidRPr="00BD5DD8">
        <w:rPr>
          <w:rFonts w:ascii="Times New Roman" w:hAnsi="Times New Roman" w:cs="Times New Roman"/>
          <w:bCs/>
        </w:rPr>
        <w:t xml:space="preserve">Studium uwarunkowań i kierunków zagospodarowania przestrzennego Miasta i Gminy Góra Kalwaria. Kierunki zagospodarowania przestrzennego, </w:t>
      </w:r>
      <w:r w:rsidRPr="00BD5DD8">
        <w:rPr>
          <w:rFonts w:ascii="Times New Roman" w:hAnsi="Times New Roman" w:cs="Times New Roman"/>
        </w:rPr>
        <w:t xml:space="preserve">(ze zmianą dot.: fragmentów wsi: wsi Aleksandrów i Linin). </w:t>
      </w:r>
      <w:r w:rsidRPr="00BD5DD8">
        <w:rPr>
          <w:rFonts w:ascii="Times New Roman" w:hAnsi="Times New Roman" w:cs="Times New Roman"/>
          <w:bCs/>
        </w:rPr>
        <w:t xml:space="preserve">Sporządzający – burmistrz Miasta i Gminy Góra Kalwaria, Warszawa – czerwiec 2014” </w:t>
      </w:r>
      <w:r>
        <w:rPr>
          <w:rFonts w:ascii="Times New Roman" w:hAnsi="Times New Roman" w:cs="Times New Roman"/>
          <w:bCs/>
        </w:rPr>
        <w:t>(</w:t>
      </w:r>
      <w:r w:rsidRPr="00BD5DD8">
        <w:rPr>
          <w:rFonts w:ascii="Times New Roman" w:hAnsi="Times New Roman" w:cs="Times New Roman"/>
          <w:bCs/>
        </w:rPr>
        <w:t>z późniejszymi zmianami</w:t>
      </w:r>
      <w:r>
        <w:rPr>
          <w:rFonts w:ascii="Times New Roman" w:hAnsi="Times New Roman" w:cs="Times New Roman"/>
          <w:bCs/>
        </w:rPr>
        <w:t>)</w:t>
      </w:r>
      <w:r w:rsidRPr="00BD5DD8">
        <w:rPr>
          <w:rFonts w:ascii="Times New Roman" w:hAnsi="Times New Roman" w:cs="Times New Roman"/>
          <w:bCs/>
        </w:rPr>
        <w:t xml:space="preserve"> niemożliwym było przewidzenie wyst</w:t>
      </w:r>
      <w:r>
        <w:rPr>
          <w:rFonts w:ascii="Times New Roman" w:hAnsi="Times New Roman" w:cs="Times New Roman"/>
          <w:bCs/>
        </w:rPr>
        <w:t>ąpienia pandemii COVID-19, która</w:t>
      </w:r>
      <w:r w:rsidRPr="00BD5DD8">
        <w:rPr>
          <w:rFonts w:ascii="Times New Roman" w:hAnsi="Times New Roman" w:cs="Times New Roman"/>
          <w:bCs/>
        </w:rPr>
        <w:t xml:space="preserve"> przyczyni</w:t>
      </w:r>
      <w:r>
        <w:rPr>
          <w:rFonts w:ascii="Times New Roman" w:hAnsi="Times New Roman" w:cs="Times New Roman"/>
          <w:bCs/>
        </w:rPr>
        <w:t>ła</w:t>
      </w:r>
      <w:r w:rsidRPr="00BD5DD8">
        <w:rPr>
          <w:rFonts w:ascii="Times New Roman" w:hAnsi="Times New Roman" w:cs="Times New Roman"/>
          <w:bCs/>
        </w:rPr>
        <w:t xml:space="preserve"> się do zahamowania, a nawet niewielkiego zmniejszenia liczby mieszkańców gminy</w:t>
      </w:r>
      <w:r w:rsidR="00466B30">
        <w:rPr>
          <w:rFonts w:ascii="Times New Roman" w:hAnsi="Times New Roman" w:cs="Times New Roman"/>
          <w:bCs/>
        </w:rPr>
        <w:t xml:space="preserve">. </w:t>
      </w:r>
    </w:p>
  </w:footnote>
  <w:footnote w:id="3">
    <w:p w14:paraId="24D8DE60" w14:textId="77777777" w:rsidR="008C584A" w:rsidRPr="00ED33C7" w:rsidRDefault="008C584A" w:rsidP="008C584A">
      <w:pPr>
        <w:pStyle w:val="Tekstprzypisudolnego"/>
        <w:tabs>
          <w:tab w:val="left" w:pos="7740"/>
        </w:tabs>
        <w:rPr>
          <w:rFonts w:ascii="Times New Roman" w:hAnsi="Times New Roman" w:cs="Times New Roman"/>
        </w:rPr>
      </w:pPr>
      <w:r>
        <w:rPr>
          <w:rStyle w:val="Odwoanieprzypisudolnego"/>
        </w:rPr>
        <w:footnoteRef/>
      </w:r>
      <w:r>
        <w:t xml:space="preserve"> </w:t>
      </w:r>
      <w:r w:rsidRPr="00ED33C7">
        <w:rPr>
          <w:rFonts w:ascii="Times New Roman" w:hAnsi="Times New Roman" w:cs="Times New Roman"/>
        </w:rPr>
        <w:t>Wartości realne – liczone w cenach 2022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09AF8" w14:textId="77777777" w:rsidR="00EE6A47" w:rsidRDefault="00EE6A47">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3F606" w14:textId="61A65A79" w:rsidR="00AF5D3A" w:rsidRPr="00246CD0" w:rsidRDefault="00246CD0" w:rsidP="00246CD0">
    <w:pPr>
      <w:pStyle w:val="Nagwek"/>
      <w:jc w:val="right"/>
      <w:rPr>
        <w:rFonts w:ascii="Times New Roman" w:hAnsi="Times New Roman" w:cs="Times New Roman"/>
        <w:i/>
        <w:iCs/>
        <w:sz w:val="20"/>
        <w:szCs w:val="20"/>
      </w:rPr>
    </w:pPr>
    <w:r w:rsidRPr="00246CD0">
      <w:rPr>
        <w:rFonts w:ascii="Times New Roman" w:hAnsi="Times New Roman" w:cs="Times New Roman"/>
        <w:i/>
        <w:iCs/>
        <w:sz w:val="20"/>
        <w:szCs w:val="20"/>
      </w:rPr>
      <w:t xml:space="preserve">Strategia rozwoju Miasta i Gminy Kalwaria do 2030 roku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1A690" w14:textId="77777777" w:rsidR="00EE6A47" w:rsidRDefault="00EE6A47">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7E0EB" w14:textId="77777777" w:rsidR="008C584A" w:rsidRDefault="008C584A">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5BC2E" w14:textId="77777777" w:rsidR="008C584A" w:rsidRDefault="008C584A">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F335B" w14:textId="77777777" w:rsidR="008C584A" w:rsidRDefault="008C584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1BD2"/>
    <w:multiLevelType w:val="hybridMultilevel"/>
    <w:tmpl w:val="515A566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18B71DD"/>
    <w:multiLevelType w:val="hybridMultilevel"/>
    <w:tmpl w:val="39B8D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A71E02"/>
    <w:multiLevelType w:val="hybridMultilevel"/>
    <w:tmpl w:val="2D22E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051EDE"/>
    <w:multiLevelType w:val="hybridMultilevel"/>
    <w:tmpl w:val="C62865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4C4D26"/>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26465D1"/>
    <w:multiLevelType w:val="hybridMultilevel"/>
    <w:tmpl w:val="CA5A5E0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36748D6"/>
    <w:multiLevelType w:val="hybridMultilevel"/>
    <w:tmpl w:val="0CB24C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6675D80"/>
    <w:multiLevelType w:val="hybridMultilevel"/>
    <w:tmpl w:val="5E9280FC"/>
    <w:lvl w:ilvl="0" w:tplc="B21AFFC6">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6B3350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81F3E53"/>
    <w:multiLevelType w:val="hybridMultilevel"/>
    <w:tmpl w:val="4FA4DB8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15:restartNumberingAfterBreak="0">
    <w:nsid w:val="08572C9A"/>
    <w:multiLevelType w:val="hybridMultilevel"/>
    <w:tmpl w:val="C6F096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9EE2164"/>
    <w:multiLevelType w:val="hybridMultilevel"/>
    <w:tmpl w:val="5B5C30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A9A6B99"/>
    <w:multiLevelType w:val="hybridMultilevel"/>
    <w:tmpl w:val="3A6E0AF2"/>
    <w:lvl w:ilvl="0" w:tplc="04150003">
      <w:start w:val="1"/>
      <w:numFmt w:val="bullet"/>
      <w:lvlText w:val="o"/>
      <w:lvlJc w:val="left"/>
      <w:pPr>
        <w:ind w:left="786" w:hanging="360"/>
      </w:pPr>
      <w:rPr>
        <w:rFonts w:ascii="Courier New" w:hAnsi="Courier New" w:cs="Courier New"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3" w15:restartNumberingAfterBreak="0">
    <w:nsid w:val="0BC079EE"/>
    <w:multiLevelType w:val="hybridMultilevel"/>
    <w:tmpl w:val="C5FE360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0CFE2DD4"/>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0D9127D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0DE83BB9"/>
    <w:multiLevelType w:val="hybridMultilevel"/>
    <w:tmpl w:val="93A83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0F5469A"/>
    <w:multiLevelType w:val="multilevel"/>
    <w:tmpl w:val="0415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8" w15:restartNumberingAfterBreak="0">
    <w:nsid w:val="13196B46"/>
    <w:multiLevelType w:val="hybridMultilevel"/>
    <w:tmpl w:val="3102AA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3270124"/>
    <w:multiLevelType w:val="hybridMultilevel"/>
    <w:tmpl w:val="C9A680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3695C9A"/>
    <w:multiLevelType w:val="hybridMultilevel"/>
    <w:tmpl w:val="2E14174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50F13B3"/>
    <w:multiLevelType w:val="hybridMultilevel"/>
    <w:tmpl w:val="94D639E8"/>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6806602"/>
    <w:multiLevelType w:val="hybridMultilevel"/>
    <w:tmpl w:val="389641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8762796"/>
    <w:multiLevelType w:val="hybridMultilevel"/>
    <w:tmpl w:val="BF187A5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18D549F4"/>
    <w:multiLevelType w:val="multilevel"/>
    <w:tmpl w:val="9158724C"/>
    <w:lvl w:ilvl="0">
      <w:start w:val="1"/>
      <w:numFmt w:val="decimal"/>
      <w:lvlText w:val="%1."/>
      <w:lvlJc w:val="left"/>
      <w:pPr>
        <w:tabs>
          <w:tab w:val="num" w:pos="360"/>
        </w:tabs>
        <w:ind w:left="360" w:hanging="360"/>
      </w:pPr>
    </w:lvl>
    <w:lvl w:ilvl="1">
      <w:start w:val="1"/>
      <w:numFmt w:val="decimal"/>
      <w:isLgl/>
      <w:lvlText w:val="%1.%2."/>
      <w:lvlJc w:val="left"/>
      <w:pPr>
        <w:tabs>
          <w:tab w:val="num" w:pos="480"/>
        </w:tabs>
        <w:ind w:left="480" w:hanging="48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15:restartNumberingAfterBreak="0">
    <w:nsid w:val="19AA4F0D"/>
    <w:multiLevelType w:val="multilevel"/>
    <w:tmpl w:val="70168F64"/>
    <w:lvl w:ilvl="0">
      <w:start w:val="1"/>
      <w:numFmt w:val="decimal"/>
      <w:lvlText w:val="%1."/>
      <w:lvlJc w:val="left"/>
      <w:pPr>
        <w:tabs>
          <w:tab w:val="num" w:pos="360"/>
        </w:tabs>
        <w:ind w:left="360" w:hanging="360"/>
      </w:p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6" w15:restartNumberingAfterBreak="0">
    <w:nsid w:val="1B221005"/>
    <w:multiLevelType w:val="hybridMultilevel"/>
    <w:tmpl w:val="1AD4B9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D1A2C6E"/>
    <w:multiLevelType w:val="hybridMultilevel"/>
    <w:tmpl w:val="EC32014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1D2844C2"/>
    <w:multiLevelType w:val="hybridMultilevel"/>
    <w:tmpl w:val="20022F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E04392D"/>
    <w:multiLevelType w:val="hybridMultilevel"/>
    <w:tmpl w:val="4A38957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F1D474A"/>
    <w:multiLevelType w:val="hybridMultilevel"/>
    <w:tmpl w:val="9550A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F6361F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1F7F7E73"/>
    <w:multiLevelType w:val="hybridMultilevel"/>
    <w:tmpl w:val="699CFF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1091025"/>
    <w:multiLevelType w:val="hybridMultilevel"/>
    <w:tmpl w:val="9006D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19875BA"/>
    <w:multiLevelType w:val="hybridMultilevel"/>
    <w:tmpl w:val="576680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1A31667"/>
    <w:multiLevelType w:val="hybridMultilevel"/>
    <w:tmpl w:val="243ED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22C33B4"/>
    <w:multiLevelType w:val="hybridMultilevel"/>
    <w:tmpl w:val="58320B12"/>
    <w:lvl w:ilvl="0" w:tplc="B8261A7C">
      <w:start w:val="1"/>
      <w:numFmt w:val="bullet"/>
      <w:lvlText w:val=""/>
      <w:lvlJc w:val="left"/>
      <w:pPr>
        <w:tabs>
          <w:tab w:val="num" w:pos="777"/>
        </w:tabs>
        <w:ind w:left="777" w:hanging="360"/>
      </w:pPr>
      <w:rPr>
        <w:rFonts w:ascii="Symbol" w:hAnsi="Symbol" w:hint="default"/>
      </w:rPr>
    </w:lvl>
    <w:lvl w:ilvl="1" w:tplc="04150003" w:tentative="1">
      <w:start w:val="1"/>
      <w:numFmt w:val="bullet"/>
      <w:lvlText w:val="o"/>
      <w:lvlJc w:val="left"/>
      <w:pPr>
        <w:tabs>
          <w:tab w:val="num" w:pos="1797"/>
        </w:tabs>
        <w:ind w:left="1797" w:hanging="360"/>
      </w:pPr>
      <w:rPr>
        <w:rFonts w:ascii="Courier New" w:hAnsi="Courier New" w:cs="Courier New" w:hint="default"/>
      </w:rPr>
    </w:lvl>
    <w:lvl w:ilvl="2" w:tplc="04150005" w:tentative="1">
      <w:start w:val="1"/>
      <w:numFmt w:val="bullet"/>
      <w:lvlText w:val=""/>
      <w:lvlJc w:val="left"/>
      <w:pPr>
        <w:tabs>
          <w:tab w:val="num" w:pos="2517"/>
        </w:tabs>
        <w:ind w:left="2517" w:hanging="360"/>
      </w:pPr>
      <w:rPr>
        <w:rFonts w:ascii="Wingdings" w:hAnsi="Wingdings" w:hint="default"/>
      </w:rPr>
    </w:lvl>
    <w:lvl w:ilvl="3" w:tplc="04150001" w:tentative="1">
      <w:start w:val="1"/>
      <w:numFmt w:val="bullet"/>
      <w:lvlText w:val=""/>
      <w:lvlJc w:val="left"/>
      <w:pPr>
        <w:tabs>
          <w:tab w:val="num" w:pos="3237"/>
        </w:tabs>
        <w:ind w:left="3237" w:hanging="360"/>
      </w:pPr>
      <w:rPr>
        <w:rFonts w:ascii="Symbol" w:hAnsi="Symbol" w:hint="default"/>
      </w:rPr>
    </w:lvl>
    <w:lvl w:ilvl="4" w:tplc="04150003" w:tentative="1">
      <w:start w:val="1"/>
      <w:numFmt w:val="bullet"/>
      <w:lvlText w:val="o"/>
      <w:lvlJc w:val="left"/>
      <w:pPr>
        <w:tabs>
          <w:tab w:val="num" w:pos="3957"/>
        </w:tabs>
        <w:ind w:left="3957" w:hanging="360"/>
      </w:pPr>
      <w:rPr>
        <w:rFonts w:ascii="Courier New" w:hAnsi="Courier New" w:cs="Courier New" w:hint="default"/>
      </w:rPr>
    </w:lvl>
    <w:lvl w:ilvl="5" w:tplc="04150005" w:tentative="1">
      <w:start w:val="1"/>
      <w:numFmt w:val="bullet"/>
      <w:lvlText w:val=""/>
      <w:lvlJc w:val="left"/>
      <w:pPr>
        <w:tabs>
          <w:tab w:val="num" w:pos="4677"/>
        </w:tabs>
        <w:ind w:left="4677" w:hanging="360"/>
      </w:pPr>
      <w:rPr>
        <w:rFonts w:ascii="Wingdings" w:hAnsi="Wingdings" w:hint="default"/>
      </w:rPr>
    </w:lvl>
    <w:lvl w:ilvl="6" w:tplc="04150001" w:tentative="1">
      <w:start w:val="1"/>
      <w:numFmt w:val="bullet"/>
      <w:lvlText w:val=""/>
      <w:lvlJc w:val="left"/>
      <w:pPr>
        <w:tabs>
          <w:tab w:val="num" w:pos="5397"/>
        </w:tabs>
        <w:ind w:left="5397" w:hanging="360"/>
      </w:pPr>
      <w:rPr>
        <w:rFonts w:ascii="Symbol" w:hAnsi="Symbol" w:hint="default"/>
      </w:rPr>
    </w:lvl>
    <w:lvl w:ilvl="7" w:tplc="04150003" w:tentative="1">
      <w:start w:val="1"/>
      <w:numFmt w:val="bullet"/>
      <w:lvlText w:val="o"/>
      <w:lvlJc w:val="left"/>
      <w:pPr>
        <w:tabs>
          <w:tab w:val="num" w:pos="6117"/>
        </w:tabs>
        <w:ind w:left="6117" w:hanging="360"/>
      </w:pPr>
      <w:rPr>
        <w:rFonts w:ascii="Courier New" w:hAnsi="Courier New" w:cs="Courier New" w:hint="default"/>
      </w:rPr>
    </w:lvl>
    <w:lvl w:ilvl="8" w:tplc="04150005" w:tentative="1">
      <w:start w:val="1"/>
      <w:numFmt w:val="bullet"/>
      <w:lvlText w:val=""/>
      <w:lvlJc w:val="left"/>
      <w:pPr>
        <w:tabs>
          <w:tab w:val="num" w:pos="6837"/>
        </w:tabs>
        <w:ind w:left="6837" w:hanging="360"/>
      </w:pPr>
      <w:rPr>
        <w:rFonts w:ascii="Wingdings" w:hAnsi="Wingdings" w:hint="default"/>
      </w:rPr>
    </w:lvl>
  </w:abstractNum>
  <w:abstractNum w:abstractNumId="37" w15:restartNumberingAfterBreak="0">
    <w:nsid w:val="232B55B2"/>
    <w:multiLevelType w:val="hybridMultilevel"/>
    <w:tmpl w:val="D82213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8B5729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29DB71D4"/>
    <w:multiLevelType w:val="hybridMultilevel"/>
    <w:tmpl w:val="3B36DCE8"/>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2A0D78CF"/>
    <w:multiLevelType w:val="hybridMultilevel"/>
    <w:tmpl w:val="D6B6BF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B17496A"/>
    <w:multiLevelType w:val="hybridMultilevel"/>
    <w:tmpl w:val="41BC2FF6"/>
    <w:lvl w:ilvl="0" w:tplc="9B2A0EE6">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B4D63C8"/>
    <w:multiLevelType w:val="hybridMultilevel"/>
    <w:tmpl w:val="7C1EE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BF806FF"/>
    <w:multiLevelType w:val="hybridMultilevel"/>
    <w:tmpl w:val="289A2424"/>
    <w:lvl w:ilvl="0" w:tplc="06809E02">
      <w:start w:val="1"/>
      <w:numFmt w:val="bullet"/>
      <w:lvlText w:val="-"/>
      <w:lvlJc w:val="left"/>
      <w:pPr>
        <w:tabs>
          <w:tab w:val="num" w:pos="1440"/>
        </w:tabs>
        <w:ind w:left="1440" w:hanging="360"/>
      </w:pPr>
      <w:rPr>
        <w:rFonts w:ascii="CG Times" w:hAnsi="CG Times" w:hint="default"/>
      </w:rPr>
    </w:lvl>
    <w:lvl w:ilvl="1" w:tplc="04150003" w:tentative="1">
      <w:start w:val="1"/>
      <w:numFmt w:val="bullet"/>
      <w:lvlText w:val="o"/>
      <w:lvlJc w:val="left"/>
      <w:pPr>
        <w:tabs>
          <w:tab w:val="num" w:pos="2160"/>
        </w:tabs>
        <w:ind w:left="2160" w:hanging="360"/>
      </w:pPr>
      <w:rPr>
        <w:rFonts w:ascii="Symbol" w:hAnsi="Symbol" w:cs="Symbol" w:hint="default"/>
      </w:rPr>
    </w:lvl>
    <w:lvl w:ilvl="2" w:tplc="04150005" w:tentative="1">
      <w:start w:val="1"/>
      <w:numFmt w:val="bullet"/>
      <w:lvlText w:val=""/>
      <w:lvlJc w:val="left"/>
      <w:pPr>
        <w:tabs>
          <w:tab w:val="num" w:pos="2880"/>
        </w:tabs>
        <w:ind w:left="2880" w:hanging="360"/>
      </w:pPr>
      <w:rPr>
        <w:rFonts w:ascii="CG Times" w:hAnsi="CG Times" w:hint="default"/>
      </w:rPr>
    </w:lvl>
    <w:lvl w:ilvl="3" w:tplc="04150001" w:tentative="1">
      <w:start w:val="1"/>
      <w:numFmt w:val="bullet"/>
      <w:lvlText w:val=""/>
      <w:lvlJc w:val="left"/>
      <w:pPr>
        <w:tabs>
          <w:tab w:val="num" w:pos="3600"/>
        </w:tabs>
        <w:ind w:left="3600" w:hanging="360"/>
      </w:pPr>
      <w:rPr>
        <w:rFonts w:ascii="Courier New" w:hAnsi="Courier New" w:hint="default"/>
      </w:rPr>
    </w:lvl>
    <w:lvl w:ilvl="4" w:tplc="04150003" w:tentative="1">
      <w:start w:val="1"/>
      <w:numFmt w:val="bullet"/>
      <w:lvlText w:val="o"/>
      <w:lvlJc w:val="left"/>
      <w:pPr>
        <w:tabs>
          <w:tab w:val="num" w:pos="4320"/>
        </w:tabs>
        <w:ind w:left="4320" w:hanging="360"/>
      </w:pPr>
      <w:rPr>
        <w:rFonts w:ascii="Symbol" w:hAnsi="Symbol" w:cs="Symbol" w:hint="default"/>
      </w:rPr>
    </w:lvl>
    <w:lvl w:ilvl="5" w:tplc="04150005" w:tentative="1">
      <w:start w:val="1"/>
      <w:numFmt w:val="bullet"/>
      <w:lvlText w:val=""/>
      <w:lvlJc w:val="left"/>
      <w:pPr>
        <w:tabs>
          <w:tab w:val="num" w:pos="5040"/>
        </w:tabs>
        <w:ind w:left="5040" w:hanging="360"/>
      </w:pPr>
      <w:rPr>
        <w:rFonts w:ascii="CG Times" w:hAnsi="CG Times" w:hint="default"/>
      </w:rPr>
    </w:lvl>
    <w:lvl w:ilvl="6" w:tplc="04150001" w:tentative="1">
      <w:start w:val="1"/>
      <w:numFmt w:val="bullet"/>
      <w:lvlText w:val=""/>
      <w:lvlJc w:val="left"/>
      <w:pPr>
        <w:tabs>
          <w:tab w:val="num" w:pos="5760"/>
        </w:tabs>
        <w:ind w:left="5760" w:hanging="360"/>
      </w:pPr>
      <w:rPr>
        <w:rFonts w:ascii="Courier New" w:hAnsi="Courier New" w:hint="default"/>
      </w:rPr>
    </w:lvl>
    <w:lvl w:ilvl="7" w:tplc="04150003" w:tentative="1">
      <w:start w:val="1"/>
      <w:numFmt w:val="bullet"/>
      <w:lvlText w:val="o"/>
      <w:lvlJc w:val="left"/>
      <w:pPr>
        <w:tabs>
          <w:tab w:val="num" w:pos="6480"/>
        </w:tabs>
        <w:ind w:left="6480" w:hanging="360"/>
      </w:pPr>
      <w:rPr>
        <w:rFonts w:ascii="Symbol" w:hAnsi="Symbol" w:cs="Symbol" w:hint="default"/>
      </w:rPr>
    </w:lvl>
    <w:lvl w:ilvl="8" w:tplc="04150005" w:tentative="1">
      <w:start w:val="1"/>
      <w:numFmt w:val="bullet"/>
      <w:lvlText w:val=""/>
      <w:lvlJc w:val="left"/>
      <w:pPr>
        <w:tabs>
          <w:tab w:val="num" w:pos="7200"/>
        </w:tabs>
        <w:ind w:left="7200" w:hanging="360"/>
      </w:pPr>
      <w:rPr>
        <w:rFonts w:ascii="CG Times" w:hAnsi="CG Times" w:hint="default"/>
      </w:rPr>
    </w:lvl>
  </w:abstractNum>
  <w:abstractNum w:abstractNumId="44" w15:restartNumberingAfterBreak="0">
    <w:nsid w:val="2C93321E"/>
    <w:multiLevelType w:val="multilevel"/>
    <w:tmpl w:val="0415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5" w15:restartNumberingAfterBreak="0">
    <w:nsid w:val="2CC708A5"/>
    <w:multiLevelType w:val="hybridMultilevel"/>
    <w:tmpl w:val="962A35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EB74D21"/>
    <w:multiLevelType w:val="hybridMultilevel"/>
    <w:tmpl w:val="4628DE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FBC69B5"/>
    <w:multiLevelType w:val="hybridMultilevel"/>
    <w:tmpl w:val="A56A77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193070D"/>
    <w:multiLevelType w:val="hybridMultilevel"/>
    <w:tmpl w:val="ABA8F85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33004171"/>
    <w:multiLevelType w:val="hybridMultilevel"/>
    <w:tmpl w:val="3E1C0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39925AB"/>
    <w:multiLevelType w:val="hybridMultilevel"/>
    <w:tmpl w:val="DF24EE88"/>
    <w:lvl w:ilvl="0" w:tplc="04150001">
      <w:start w:val="1"/>
      <w:numFmt w:val="bullet"/>
      <w:pStyle w:val="Listapunktowana"/>
      <w:lvlText w:val=""/>
      <w:lvlJc w:val="left"/>
      <w:pPr>
        <w:tabs>
          <w:tab w:val="num" w:pos="360"/>
        </w:tabs>
        <w:ind w:left="360" w:hanging="36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3C6632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55375EB"/>
    <w:multiLevelType w:val="hybridMultilevel"/>
    <w:tmpl w:val="F5BCE4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6343178"/>
    <w:multiLevelType w:val="hybridMultilevel"/>
    <w:tmpl w:val="485209B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37A2053D"/>
    <w:multiLevelType w:val="hybridMultilevel"/>
    <w:tmpl w:val="65A4A5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7FE4817"/>
    <w:multiLevelType w:val="hybridMultilevel"/>
    <w:tmpl w:val="C646189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6" w15:restartNumberingAfterBreak="0">
    <w:nsid w:val="39995CED"/>
    <w:multiLevelType w:val="hybridMultilevel"/>
    <w:tmpl w:val="59C8B5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A922E23"/>
    <w:multiLevelType w:val="hybridMultilevel"/>
    <w:tmpl w:val="3C6A1FE0"/>
    <w:lvl w:ilvl="0" w:tplc="F98029A2">
      <w:start w:val="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3BE6156A"/>
    <w:multiLevelType w:val="hybridMultilevel"/>
    <w:tmpl w:val="8408C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C066581"/>
    <w:multiLevelType w:val="hybridMultilevel"/>
    <w:tmpl w:val="4B123E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CBB1725"/>
    <w:multiLevelType w:val="hybridMultilevel"/>
    <w:tmpl w:val="2E8C27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CDD36E5"/>
    <w:multiLevelType w:val="hybridMultilevel"/>
    <w:tmpl w:val="3B7C92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D9A7378"/>
    <w:multiLevelType w:val="hybridMultilevel"/>
    <w:tmpl w:val="00EA50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E573EC3"/>
    <w:multiLevelType w:val="hybridMultilevel"/>
    <w:tmpl w:val="19A42A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3F5A18B1"/>
    <w:multiLevelType w:val="hybridMultilevel"/>
    <w:tmpl w:val="348A2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18B3493"/>
    <w:multiLevelType w:val="hybridMultilevel"/>
    <w:tmpl w:val="47D07DA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3514398"/>
    <w:multiLevelType w:val="hybridMultilevel"/>
    <w:tmpl w:val="4E3E27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43E142F9"/>
    <w:multiLevelType w:val="hybridMultilevel"/>
    <w:tmpl w:val="D9DC59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5E77AE3"/>
    <w:multiLevelType w:val="multilevel"/>
    <w:tmpl w:val="6C3A5DA4"/>
    <w:lvl w:ilvl="0">
      <w:start w:val="1"/>
      <w:numFmt w:val="bullet"/>
      <w:lvlText w:val=""/>
      <w:lvlJc w:val="left"/>
      <w:pPr>
        <w:tabs>
          <w:tab w:val="num" w:pos="360"/>
        </w:tabs>
        <w:ind w:left="360" w:hanging="360"/>
      </w:pPr>
      <w:rPr>
        <w:rFonts w:ascii="Symbol" w:hAnsi="Symbol" w:hint="default"/>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69" w15:restartNumberingAfterBreak="0">
    <w:nsid w:val="47CE6B27"/>
    <w:multiLevelType w:val="hybridMultilevel"/>
    <w:tmpl w:val="AF222378"/>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15:restartNumberingAfterBreak="0">
    <w:nsid w:val="47FC5E61"/>
    <w:multiLevelType w:val="hybridMultilevel"/>
    <w:tmpl w:val="0F2427A6"/>
    <w:lvl w:ilvl="0" w:tplc="53069F7C">
      <w:start w:val="1"/>
      <w:numFmt w:val="bullet"/>
      <w:lvlText w:val="-"/>
      <w:lvlJc w:val="left"/>
      <w:pPr>
        <w:tabs>
          <w:tab w:val="num" w:pos="360"/>
        </w:tabs>
        <w:ind w:left="360" w:hanging="360"/>
      </w:pPr>
      <w:rPr>
        <w:rFonts w:ascii="CG Times" w:hAnsi="CG Times" w:hint="default"/>
      </w:rPr>
    </w:lvl>
    <w:lvl w:ilvl="1" w:tplc="02C0D5EC" w:tentative="1">
      <w:start w:val="1"/>
      <w:numFmt w:val="bullet"/>
      <w:lvlText w:val="o"/>
      <w:lvlJc w:val="left"/>
      <w:pPr>
        <w:tabs>
          <w:tab w:val="num" w:pos="360"/>
        </w:tabs>
        <w:ind w:left="360" w:hanging="360"/>
      </w:pPr>
      <w:rPr>
        <w:rFonts w:ascii="Times New Roman" w:hAnsi="Times New Roman" w:cs="Times New Roman" w:hint="default"/>
      </w:rPr>
    </w:lvl>
    <w:lvl w:ilvl="2" w:tplc="4DECC822" w:tentative="1">
      <w:start w:val="1"/>
      <w:numFmt w:val="bullet"/>
      <w:lvlText w:val=""/>
      <w:lvlJc w:val="left"/>
      <w:pPr>
        <w:tabs>
          <w:tab w:val="num" w:pos="1080"/>
        </w:tabs>
        <w:ind w:left="1080" w:hanging="360"/>
      </w:pPr>
      <w:rPr>
        <w:rFonts w:ascii="Tahoma" w:hAnsi="Tahoma" w:hint="default"/>
      </w:rPr>
    </w:lvl>
    <w:lvl w:ilvl="3" w:tplc="5A282532" w:tentative="1">
      <w:start w:val="1"/>
      <w:numFmt w:val="bullet"/>
      <w:lvlText w:val=""/>
      <w:lvlJc w:val="left"/>
      <w:pPr>
        <w:tabs>
          <w:tab w:val="num" w:pos="1800"/>
        </w:tabs>
        <w:ind w:left="1800" w:hanging="360"/>
      </w:pPr>
      <w:rPr>
        <w:rFonts w:ascii="Wingdings" w:hAnsi="Wingdings" w:hint="default"/>
      </w:rPr>
    </w:lvl>
    <w:lvl w:ilvl="4" w:tplc="461E5148" w:tentative="1">
      <w:start w:val="1"/>
      <w:numFmt w:val="bullet"/>
      <w:lvlText w:val="o"/>
      <w:lvlJc w:val="left"/>
      <w:pPr>
        <w:tabs>
          <w:tab w:val="num" w:pos="2520"/>
        </w:tabs>
        <w:ind w:left="2520" w:hanging="360"/>
      </w:pPr>
      <w:rPr>
        <w:rFonts w:ascii="Times New Roman" w:hAnsi="Times New Roman" w:cs="Times New Roman" w:hint="default"/>
      </w:rPr>
    </w:lvl>
    <w:lvl w:ilvl="5" w:tplc="B1409042" w:tentative="1">
      <w:start w:val="1"/>
      <w:numFmt w:val="bullet"/>
      <w:lvlText w:val=""/>
      <w:lvlJc w:val="left"/>
      <w:pPr>
        <w:tabs>
          <w:tab w:val="num" w:pos="3240"/>
        </w:tabs>
        <w:ind w:left="3240" w:hanging="360"/>
      </w:pPr>
      <w:rPr>
        <w:rFonts w:ascii="Tahoma" w:hAnsi="Tahoma" w:hint="default"/>
      </w:rPr>
    </w:lvl>
    <w:lvl w:ilvl="6" w:tplc="DD023006" w:tentative="1">
      <w:start w:val="1"/>
      <w:numFmt w:val="bullet"/>
      <w:lvlText w:val=""/>
      <w:lvlJc w:val="left"/>
      <w:pPr>
        <w:tabs>
          <w:tab w:val="num" w:pos="3960"/>
        </w:tabs>
        <w:ind w:left="3960" w:hanging="360"/>
      </w:pPr>
      <w:rPr>
        <w:rFonts w:ascii="Wingdings" w:hAnsi="Wingdings" w:hint="default"/>
      </w:rPr>
    </w:lvl>
    <w:lvl w:ilvl="7" w:tplc="CEC60304" w:tentative="1">
      <w:start w:val="1"/>
      <w:numFmt w:val="bullet"/>
      <w:lvlText w:val="o"/>
      <w:lvlJc w:val="left"/>
      <w:pPr>
        <w:tabs>
          <w:tab w:val="num" w:pos="4680"/>
        </w:tabs>
        <w:ind w:left="4680" w:hanging="360"/>
      </w:pPr>
      <w:rPr>
        <w:rFonts w:ascii="Times New Roman" w:hAnsi="Times New Roman" w:cs="Times New Roman" w:hint="default"/>
      </w:rPr>
    </w:lvl>
    <w:lvl w:ilvl="8" w:tplc="F830CB56" w:tentative="1">
      <w:start w:val="1"/>
      <w:numFmt w:val="bullet"/>
      <w:lvlText w:val=""/>
      <w:lvlJc w:val="left"/>
      <w:pPr>
        <w:tabs>
          <w:tab w:val="num" w:pos="5400"/>
        </w:tabs>
        <w:ind w:left="5400" w:hanging="360"/>
      </w:pPr>
      <w:rPr>
        <w:rFonts w:ascii="Tahoma" w:hAnsi="Tahoma" w:hint="default"/>
      </w:rPr>
    </w:lvl>
  </w:abstractNum>
  <w:abstractNum w:abstractNumId="71" w15:restartNumberingAfterBreak="0">
    <w:nsid w:val="4A266234"/>
    <w:multiLevelType w:val="hybridMultilevel"/>
    <w:tmpl w:val="F8C2D0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B8D2632"/>
    <w:multiLevelType w:val="hybridMultilevel"/>
    <w:tmpl w:val="23C0D9C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502C794E"/>
    <w:multiLevelType w:val="hybridMultilevel"/>
    <w:tmpl w:val="7492A7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51DE681D"/>
    <w:multiLevelType w:val="hybridMultilevel"/>
    <w:tmpl w:val="D8CA70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530371FA"/>
    <w:multiLevelType w:val="hybridMultilevel"/>
    <w:tmpl w:val="88105D46"/>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15:restartNumberingAfterBreak="0">
    <w:nsid w:val="53A11103"/>
    <w:multiLevelType w:val="hybridMultilevel"/>
    <w:tmpl w:val="8B14EC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4020919"/>
    <w:multiLevelType w:val="hybridMultilevel"/>
    <w:tmpl w:val="516278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49767E4"/>
    <w:multiLevelType w:val="hybridMultilevel"/>
    <w:tmpl w:val="BB2AAEC4"/>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9" w15:restartNumberingAfterBreak="0">
    <w:nsid w:val="556F5557"/>
    <w:multiLevelType w:val="hybridMultilevel"/>
    <w:tmpl w:val="B554DA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56AD7828"/>
    <w:multiLevelType w:val="hybridMultilevel"/>
    <w:tmpl w:val="BEE27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9A25AE6"/>
    <w:multiLevelType w:val="hybridMultilevel"/>
    <w:tmpl w:val="FC5CD8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5A9C5587"/>
    <w:multiLevelType w:val="hybridMultilevel"/>
    <w:tmpl w:val="EFF07A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5E023443"/>
    <w:multiLevelType w:val="hybridMultilevel"/>
    <w:tmpl w:val="4176DCA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E564AAA"/>
    <w:multiLevelType w:val="hybridMultilevel"/>
    <w:tmpl w:val="96D86AD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5F993E91"/>
    <w:multiLevelType w:val="hybridMultilevel"/>
    <w:tmpl w:val="A3A227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FDD6E8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5FE87F5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61A00F6B"/>
    <w:multiLevelType w:val="hybridMultilevel"/>
    <w:tmpl w:val="60AAEB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2E1231E"/>
    <w:multiLevelType w:val="hybridMultilevel"/>
    <w:tmpl w:val="79DA055E"/>
    <w:lvl w:ilvl="0" w:tplc="04150019">
      <w:start w:val="1"/>
      <w:numFmt w:val="lowerLetter"/>
      <w:lvlText w:val="%1."/>
      <w:lvlJc w:val="left"/>
      <w:pPr>
        <w:ind w:left="720" w:hanging="360"/>
      </w:pPr>
    </w:lvl>
    <w:lvl w:ilvl="1" w:tplc="14CAC662">
      <w:start w:val="1"/>
      <w:numFmt w:val="decimal"/>
      <w:lvlText w:val="%2."/>
      <w:lvlJc w:val="left"/>
      <w:pPr>
        <w:ind w:left="1440" w:hanging="360"/>
      </w:pPr>
      <w:rPr>
        <w:rFonts w:hint="default"/>
      </w:rPr>
    </w:lvl>
    <w:lvl w:ilvl="2" w:tplc="172A1728">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6335270E"/>
    <w:multiLevelType w:val="hybridMultilevel"/>
    <w:tmpl w:val="18049D6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3353523"/>
    <w:multiLevelType w:val="hybridMultilevel"/>
    <w:tmpl w:val="5D40E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39F2265"/>
    <w:multiLevelType w:val="hybridMultilevel"/>
    <w:tmpl w:val="54548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6017FE7"/>
    <w:multiLevelType w:val="hybridMultilevel"/>
    <w:tmpl w:val="EE689B6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69B46675"/>
    <w:multiLevelType w:val="multilevel"/>
    <w:tmpl w:val="0415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95" w15:restartNumberingAfterBreak="0">
    <w:nsid w:val="69BE5C8B"/>
    <w:multiLevelType w:val="hybridMultilevel"/>
    <w:tmpl w:val="7F3246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AE05600"/>
    <w:multiLevelType w:val="hybridMultilevel"/>
    <w:tmpl w:val="2D741B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B8B0980"/>
    <w:multiLevelType w:val="hybridMultilevel"/>
    <w:tmpl w:val="4658F50A"/>
    <w:lvl w:ilvl="0" w:tplc="76D41404">
      <w:start w:val="10"/>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8" w15:restartNumberingAfterBreak="0">
    <w:nsid w:val="6C123738"/>
    <w:multiLevelType w:val="hybridMultilevel"/>
    <w:tmpl w:val="BC64C3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C222C84"/>
    <w:multiLevelType w:val="hybridMultilevel"/>
    <w:tmpl w:val="236683A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0" w15:restartNumberingAfterBreak="0">
    <w:nsid w:val="6D6A582E"/>
    <w:multiLevelType w:val="hybridMultilevel"/>
    <w:tmpl w:val="2D882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F0D1C9C"/>
    <w:multiLevelType w:val="hybridMultilevel"/>
    <w:tmpl w:val="B8A2CCE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2" w15:restartNumberingAfterBreak="0">
    <w:nsid w:val="703E528B"/>
    <w:multiLevelType w:val="hybridMultilevel"/>
    <w:tmpl w:val="E1AC1C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2061E44"/>
    <w:multiLevelType w:val="hybridMultilevel"/>
    <w:tmpl w:val="96C0C340"/>
    <w:lvl w:ilvl="0" w:tplc="0415000F">
      <w:start w:val="1"/>
      <w:numFmt w:val="bullet"/>
      <w:lvlText w:val=""/>
      <w:lvlJc w:val="left"/>
      <w:pPr>
        <w:ind w:left="1287" w:hanging="360"/>
      </w:pPr>
      <w:rPr>
        <w:rFonts w:ascii="Symbol" w:hAnsi="Symbol" w:hint="default"/>
        <w:b w:val="0"/>
        <w:u w:color="2F5496" w:themeColor="accent1" w:themeShade="BF"/>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04" w15:restartNumberingAfterBreak="0">
    <w:nsid w:val="720C1828"/>
    <w:multiLevelType w:val="hybridMultilevel"/>
    <w:tmpl w:val="09A208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28F328E"/>
    <w:multiLevelType w:val="hybridMultilevel"/>
    <w:tmpl w:val="F57647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3380DF4"/>
    <w:multiLevelType w:val="hybridMultilevel"/>
    <w:tmpl w:val="0644E1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3AB400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8" w15:restartNumberingAfterBreak="0">
    <w:nsid w:val="73C9416A"/>
    <w:multiLevelType w:val="hybridMultilevel"/>
    <w:tmpl w:val="2C0876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3F42C2F"/>
    <w:multiLevelType w:val="hybridMultilevel"/>
    <w:tmpl w:val="95D811E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0" w15:restartNumberingAfterBreak="0">
    <w:nsid w:val="74D27BA1"/>
    <w:multiLevelType w:val="hybridMultilevel"/>
    <w:tmpl w:val="F76CA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6D225BA"/>
    <w:multiLevelType w:val="hybridMultilevel"/>
    <w:tmpl w:val="F43652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8540911"/>
    <w:multiLevelType w:val="hybridMultilevel"/>
    <w:tmpl w:val="0BC60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8570214"/>
    <w:multiLevelType w:val="hybridMultilevel"/>
    <w:tmpl w:val="1E4A684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9EA6567"/>
    <w:multiLevelType w:val="multilevel"/>
    <w:tmpl w:val="D8E200E4"/>
    <w:lvl w:ilvl="0">
      <w:start w:val="2"/>
      <w:numFmt w:val="decimal"/>
      <w:lvlText w:val="%1."/>
      <w:lvlJc w:val="left"/>
      <w:pPr>
        <w:tabs>
          <w:tab w:val="num" w:pos="540"/>
        </w:tabs>
        <w:ind w:left="540" w:hanging="540"/>
      </w:pPr>
      <w:rPr>
        <w:rFonts w:ascii="Times New Roman" w:hAnsi="Times New Roman" w:hint="default"/>
        <w:sz w:val="24"/>
      </w:rPr>
    </w:lvl>
    <w:lvl w:ilvl="1">
      <w:start w:val="3"/>
      <w:numFmt w:val="decimal"/>
      <w:lvlText w:val="%1.%2."/>
      <w:lvlJc w:val="left"/>
      <w:pPr>
        <w:tabs>
          <w:tab w:val="num" w:pos="900"/>
        </w:tabs>
        <w:ind w:left="900" w:hanging="720"/>
      </w:pPr>
      <w:rPr>
        <w:rFonts w:ascii="Times New Roman" w:hAnsi="Times New Roman" w:hint="default"/>
        <w:sz w:val="24"/>
      </w:rPr>
    </w:lvl>
    <w:lvl w:ilvl="2">
      <w:start w:val="2"/>
      <w:numFmt w:val="decimal"/>
      <w:lvlText w:val="%1.%2.%3."/>
      <w:lvlJc w:val="left"/>
      <w:pPr>
        <w:tabs>
          <w:tab w:val="num" w:pos="1080"/>
        </w:tabs>
        <w:ind w:left="1080" w:hanging="720"/>
      </w:pPr>
      <w:rPr>
        <w:rFonts w:ascii="Times New Roman" w:hAnsi="Times New Roman" w:hint="default"/>
        <w:sz w:val="24"/>
      </w:rPr>
    </w:lvl>
    <w:lvl w:ilvl="3">
      <w:start w:val="1"/>
      <w:numFmt w:val="decimal"/>
      <w:lvlText w:val="%1.%2.%3.%4."/>
      <w:lvlJc w:val="left"/>
      <w:pPr>
        <w:tabs>
          <w:tab w:val="num" w:pos="1620"/>
        </w:tabs>
        <w:ind w:left="1620" w:hanging="1080"/>
      </w:pPr>
      <w:rPr>
        <w:rFonts w:ascii="Times New Roman" w:hAnsi="Times New Roman" w:hint="default"/>
        <w:sz w:val="24"/>
      </w:rPr>
    </w:lvl>
    <w:lvl w:ilvl="4">
      <w:start w:val="1"/>
      <w:numFmt w:val="decimal"/>
      <w:lvlText w:val="%1.%2.%3.%4.%5."/>
      <w:lvlJc w:val="left"/>
      <w:pPr>
        <w:tabs>
          <w:tab w:val="num" w:pos="2160"/>
        </w:tabs>
        <w:ind w:left="2160" w:hanging="1440"/>
      </w:pPr>
      <w:rPr>
        <w:rFonts w:ascii="Times New Roman" w:hAnsi="Times New Roman" w:hint="default"/>
        <w:sz w:val="24"/>
      </w:rPr>
    </w:lvl>
    <w:lvl w:ilvl="5">
      <w:start w:val="1"/>
      <w:numFmt w:val="decimal"/>
      <w:lvlText w:val="%1.%2.%3.%4.%5.%6."/>
      <w:lvlJc w:val="left"/>
      <w:pPr>
        <w:tabs>
          <w:tab w:val="num" w:pos="2340"/>
        </w:tabs>
        <w:ind w:left="2340" w:hanging="1440"/>
      </w:pPr>
      <w:rPr>
        <w:rFonts w:ascii="Times New Roman" w:hAnsi="Times New Roman" w:hint="default"/>
        <w:sz w:val="24"/>
      </w:rPr>
    </w:lvl>
    <w:lvl w:ilvl="6">
      <w:start w:val="1"/>
      <w:numFmt w:val="decimal"/>
      <w:lvlText w:val="%1.%2.%3.%4.%5.%6.%7."/>
      <w:lvlJc w:val="left"/>
      <w:pPr>
        <w:tabs>
          <w:tab w:val="num" w:pos="2880"/>
        </w:tabs>
        <w:ind w:left="2880" w:hanging="1800"/>
      </w:pPr>
      <w:rPr>
        <w:rFonts w:ascii="Times New Roman" w:hAnsi="Times New Roman" w:hint="default"/>
        <w:sz w:val="24"/>
      </w:rPr>
    </w:lvl>
    <w:lvl w:ilvl="7">
      <w:start w:val="1"/>
      <w:numFmt w:val="decimal"/>
      <w:lvlText w:val="%1.%2.%3.%4.%5.%6.%7.%8."/>
      <w:lvlJc w:val="left"/>
      <w:pPr>
        <w:tabs>
          <w:tab w:val="num" w:pos="3060"/>
        </w:tabs>
        <w:ind w:left="3060" w:hanging="1800"/>
      </w:pPr>
      <w:rPr>
        <w:rFonts w:ascii="Times New Roman" w:hAnsi="Times New Roman" w:hint="default"/>
        <w:sz w:val="24"/>
      </w:rPr>
    </w:lvl>
    <w:lvl w:ilvl="8">
      <w:start w:val="1"/>
      <w:numFmt w:val="decimal"/>
      <w:lvlText w:val="%1.%2.%3.%4.%5.%6.%7.%8.%9."/>
      <w:lvlJc w:val="left"/>
      <w:pPr>
        <w:tabs>
          <w:tab w:val="num" w:pos="3600"/>
        </w:tabs>
        <w:ind w:left="3600" w:hanging="2160"/>
      </w:pPr>
      <w:rPr>
        <w:rFonts w:ascii="Times New Roman" w:hAnsi="Times New Roman" w:hint="default"/>
        <w:sz w:val="24"/>
      </w:rPr>
    </w:lvl>
  </w:abstractNum>
  <w:abstractNum w:abstractNumId="115" w15:restartNumberingAfterBreak="0">
    <w:nsid w:val="79FA33EC"/>
    <w:multiLevelType w:val="hybridMultilevel"/>
    <w:tmpl w:val="3A44C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AF439D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7" w15:restartNumberingAfterBreak="0">
    <w:nsid w:val="7C050DEF"/>
    <w:multiLevelType w:val="hybridMultilevel"/>
    <w:tmpl w:val="3D28B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C2573B3"/>
    <w:multiLevelType w:val="hybridMultilevel"/>
    <w:tmpl w:val="8F8685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7E0A0FEC"/>
    <w:multiLevelType w:val="hybridMultilevel"/>
    <w:tmpl w:val="786C295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7EED2110"/>
    <w:multiLevelType w:val="hybridMultilevel"/>
    <w:tmpl w:val="58FAC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F8A26E9"/>
    <w:multiLevelType w:val="hybridMultilevel"/>
    <w:tmpl w:val="EC90F07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15:restartNumberingAfterBreak="0">
    <w:nsid w:val="7FE70F3C"/>
    <w:multiLevelType w:val="hybridMultilevel"/>
    <w:tmpl w:val="830E34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797453961">
    <w:abstractNumId w:val="96"/>
  </w:num>
  <w:num w:numId="2" w16cid:durableId="1302806219">
    <w:abstractNumId w:val="26"/>
  </w:num>
  <w:num w:numId="3" w16cid:durableId="840120328">
    <w:abstractNumId w:val="89"/>
  </w:num>
  <w:num w:numId="4" w16cid:durableId="1185510720">
    <w:abstractNumId w:val="52"/>
  </w:num>
  <w:num w:numId="5" w16cid:durableId="1722362802">
    <w:abstractNumId w:val="37"/>
  </w:num>
  <w:num w:numId="6" w16cid:durableId="43138697">
    <w:abstractNumId w:val="112"/>
  </w:num>
  <w:num w:numId="7" w16cid:durableId="1511945204">
    <w:abstractNumId w:val="18"/>
  </w:num>
  <w:num w:numId="8" w16cid:durableId="881602037">
    <w:abstractNumId w:val="59"/>
  </w:num>
  <w:num w:numId="9" w16cid:durableId="1022512472">
    <w:abstractNumId w:val="50"/>
  </w:num>
  <w:num w:numId="10" w16cid:durableId="224603664">
    <w:abstractNumId w:val="28"/>
  </w:num>
  <w:num w:numId="11" w16cid:durableId="1237396988">
    <w:abstractNumId w:val="27"/>
  </w:num>
  <w:num w:numId="12" w16cid:durableId="1610311301">
    <w:abstractNumId w:val="55"/>
  </w:num>
  <w:num w:numId="13" w16cid:durableId="1003897067">
    <w:abstractNumId w:val="29"/>
  </w:num>
  <w:num w:numId="14" w16cid:durableId="1226256602">
    <w:abstractNumId w:val="66"/>
  </w:num>
  <w:num w:numId="15" w16cid:durableId="1594514386">
    <w:abstractNumId w:val="82"/>
  </w:num>
  <w:num w:numId="16" w16cid:durableId="1298877831">
    <w:abstractNumId w:val="5"/>
  </w:num>
  <w:num w:numId="17" w16cid:durableId="1825467937">
    <w:abstractNumId w:val="72"/>
  </w:num>
  <w:num w:numId="18" w16cid:durableId="1040126192">
    <w:abstractNumId w:val="0"/>
  </w:num>
  <w:num w:numId="19" w16cid:durableId="1754162802">
    <w:abstractNumId w:val="79"/>
  </w:num>
  <w:num w:numId="20" w16cid:durableId="1763913189">
    <w:abstractNumId w:val="101"/>
  </w:num>
  <w:num w:numId="21" w16cid:durableId="1544293160">
    <w:abstractNumId w:val="113"/>
  </w:num>
  <w:num w:numId="22" w16cid:durableId="649946076">
    <w:abstractNumId w:val="48"/>
  </w:num>
  <w:num w:numId="23" w16cid:durableId="923076601">
    <w:abstractNumId w:val="21"/>
  </w:num>
  <w:num w:numId="24" w16cid:durableId="37366844">
    <w:abstractNumId w:val="69"/>
  </w:num>
  <w:num w:numId="25" w16cid:durableId="856309051">
    <w:abstractNumId w:val="67"/>
  </w:num>
  <w:num w:numId="26" w16cid:durableId="1021318612">
    <w:abstractNumId w:val="83"/>
  </w:num>
  <w:num w:numId="27" w16cid:durableId="605428346">
    <w:abstractNumId w:val="63"/>
  </w:num>
  <w:num w:numId="28" w16cid:durableId="1966932525">
    <w:abstractNumId w:val="13"/>
  </w:num>
  <w:num w:numId="29" w16cid:durableId="792136900">
    <w:abstractNumId w:val="121"/>
  </w:num>
  <w:num w:numId="30" w16cid:durableId="1979531716">
    <w:abstractNumId w:val="35"/>
  </w:num>
  <w:num w:numId="31" w16cid:durableId="912162351">
    <w:abstractNumId w:val="22"/>
  </w:num>
  <w:num w:numId="32" w16cid:durableId="597255386">
    <w:abstractNumId w:val="106"/>
  </w:num>
  <w:num w:numId="33" w16cid:durableId="1295672130">
    <w:abstractNumId w:val="10"/>
  </w:num>
  <w:num w:numId="34" w16cid:durableId="905458557">
    <w:abstractNumId w:val="71"/>
  </w:num>
  <w:num w:numId="35" w16cid:durableId="2134522740">
    <w:abstractNumId w:val="53"/>
  </w:num>
  <w:num w:numId="36" w16cid:durableId="21640418">
    <w:abstractNumId w:val="68"/>
  </w:num>
  <w:num w:numId="37" w16cid:durableId="1714620031">
    <w:abstractNumId w:val="33"/>
  </w:num>
  <w:num w:numId="38" w16cid:durableId="1410620630">
    <w:abstractNumId w:val="78"/>
  </w:num>
  <w:num w:numId="39" w16cid:durableId="1261182660">
    <w:abstractNumId w:val="46"/>
  </w:num>
  <w:num w:numId="40" w16cid:durableId="71513595">
    <w:abstractNumId w:val="3"/>
  </w:num>
  <w:num w:numId="41" w16cid:durableId="756363397">
    <w:abstractNumId w:val="12"/>
  </w:num>
  <w:num w:numId="42" w16cid:durableId="177933602">
    <w:abstractNumId w:val="110"/>
  </w:num>
  <w:num w:numId="43" w16cid:durableId="174658043">
    <w:abstractNumId w:val="42"/>
  </w:num>
  <w:num w:numId="44" w16cid:durableId="82070782">
    <w:abstractNumId w:val="115"/>
  </w:num>
  <w:num w:numId="45" w16cid:durableId="1622498068">
    <w:abstractNumId w:val="104"/>
  </w:num>
  <w:num w:numId="46" w16cid:durableId="1548102783">
    <w:abstractNumId w:val="32"/>
  </w:num>
  <w:num w:numId="47" w16cid:durableId="1217350180">
    <w:abstractNumId w:val="98"/>
  </w:num>
  <w:num w:numId="48" w16cid:durableId="200485310">
    <w:abstractNumId w:val="30"/>
  </w:num>
  <w:num w:numId="49" w16cid:durableId="397754872">
    <w:abstractNumId w:val="122"/>
  </w:num>
  <w:num w:numId="50" w16cid:durableId="461509248">
    <w:abstractNumId w:val="84"/>
  </w:num>
  <w:num w:numId="51" w16cid:durableId="1538159343">
    <w:abstractNumId w:val="93"/>
  </w:num>
  <w:num w:numId="52" w16cid:durableId="2101485136">
    <w:abstractNumId w:val="54"/>
  </w:num>
  <w:num w:numId="53" w16cid:durableId="650913368">
    <w:abstractNumId w:val="90"/>
  </w:num>
  <w:num w:numId="54" w16cid:durableId="695692557">
    <w:abstractNumId w:val="9"/>
  </w:num>
  <w:num w:numId="55" w16cid:durableId="1199509038">
    <w:abstractNumId w:val="75"/>
  </w:num>
  <w:num w:numId="56" w16cid:durableId="1015691842">
    <w:abstractNumId w:val="39"/>
  </w:num>
  <w:num w:numId="57" w16cid:durableId="681010612">
    <w:abstractNumId w:val="61"/>
  </w:num>
  <w:num w:numId="58" w16cid:durableId="1978103845">
    <w:abstractNumId w:val="119"/>
  </w:num>
  <w:num w:numId="59" w16cid:durableId="1848054156">
    <w:abstractNumId w:val="73"/>
  </w:num>
  <w:num w:numId="60" w16cid:durableId="1560020143">
    <w:abstractNumId w:val="65"/>
  </w:num>
  <w:num w:numId="61" w16cid:durableId="1688675032">
    <w:abstractNumId w:val="7"/>
  </w:num>
  <w:num w:numId="62" w16cid:durableId="2087335830">
    <w:abstractNumId w:val="94"/>
  </w:num>
  <w:num w:numId="63" w16cid:durableId="1144390614">
    <w:abstractNumId w:val="17"/>
  </w:num>
  <w:num w:numId="64" w16cid:durableId="1498036071">
    <w:abstractNumId w:val="44"/>
  </w:num>
  <w:num w:numId="65" w16cid:durableId="754520113">
    <w:abstractNumId w:val="97"/>
  </w:num>
  <w:num w:numId="66" w16cid:durableId="1309359395">
    <w:abstractNumId w:val="15"/>
  </w:num>
  <w:num w:numId="67" w16cid:durableId="800928247">
    <w:abstractNumId w:val="38"/>
  </w:num>
  <w:num w:numId="68" w16cid:durableId="312563061">
    <w:abstractNumId w:val="87"/>
  </w:num>
  <w:num w:numId="69" w16cid:durableId="1120994295">
    <w:abstractNumId w:val="31"/>
  </w:num>
  <w:num w:numId="70" w16cid:durableId="1011221629">
    <w:abstractNumId w:val="4"/>
  </w:num>
  <w:num w:numId="71" w16cid:durableId="1775977040">
    <w:abstractNumId w:val="8"/>
  </w:num>
  <w:num w:numId="72" w16cid:durableId="688290127">
    <w:abstractNumId w:val="107"/>
  </w:num>
  <w:num w:numId="73" w16cid:durableId="568688368">
    <w:abstractNumId w:val="51"/>
  </w:num>
  <w:num w:numId="74" w16cid:durableId="518272436">
    <w:abstractNumId w:val="86"/>
  </w:num>
  <w:num w:numId="75" w16cid:durableId="1896232024">
    <w:abstractNumId w:val="116"/>
  </w:num>
  <w:num w:numId="76" w16cid:durableId="1284459334">
    <w:abstractNumId w:val="14"/>
  </w:num>
  <w:num w:numId="77" w16cid:durableId="1895120155">
    <w:abstractNumId w:val="23"/>
  </w:num>
  <w:num w:numId="78" w16cid:durableId="1670980913">
    <w:abstractNumId w:val="81"/>
  </w:num>
  <w:num w:numId="79" w16cid:durableId="1976829648">
    <w:abstractNumId w:val="64"/>
  </w:num>
  <w:num w:numId="80" w16cid:durableId="217056584">
    <w:abstractNumId w:val="49"/>
  </w:num>
  <w:num w:numId="81" w16cid:durableId="1104610802">
    <w:abstractNumId w:val="16"/>
  </w:num>
  <w:num w:numId="82" w16cid:durableId="1363557042">
    <w:abstractNumId w:val="1"/>
  </w:num>
  <w:num w:numId="83" w16cid:durableId="1927618048">
    <w:abstractNumId w:val="108"/>
  </w:num>
  <w:num w:numId="84" w16cid:durableId="254828251">
    <w:abstractNumId w:val="117"/>
  </w:num>
  <w:num w:numId="85" w16cid:durableId="1164585416">
    <w:abstractNumId w:val="57"/>
  </w:num>
  <w:num w:numId="86" w16cid:durableId="1892886598">
    <w:abstractNumId w:val="60"/>
  </w:num>
  <w:num w:numId="87" w16cid:durableId="2024360541">
    <w:abstractNumId w:val="103"/>
  </w:num>
  <w:num w:numId="88" w16cid:durableId="1205947301">
    <w:abstractNumId w:val="111"/>
  </w:num>
  <w:num w:numId="89" w16cid:durableId="194654694">
    <w:abstractNumId w:val="19"/>
  </w:num>
  <w:num w:numId="90" w16cid:durableId="1987850783">
    <w:abstractNumId w:val="6"/>
  </w:num>
  <w:num w:numId="91" w16cid:durableId="14237772">
    <w:abstractNumId w:val="105"/>
  </w:num>
  <w:num w:numId="92" w16cid:durableId="1944142198">
    <w:abstractNumId w:val="45"/>
  </w:num>
  <w:num w:numId="93" w16cid:durableId="579490449">
    <w:abstractNumId w:val="25"/>
  </w:num>
  <w:num w:numId="94" w16cid:durableId="1536232993">
    <w:abstractNumId w:val="70"/>
  </w:num>
  <w:num w:numId="95" w16cid:durableId="865408164">
    <w:abstractNumId w:val="43"/>
  </w:num>
  <w:num w:numId="96" w16cid:durableId="436683022">
    <w:abstractNumId w:val="36"/>
  </w:num>
  <w:num w:numId="97" w16cid:durableId="1730415726">
    <w:abstractNumId w:val="24"/>
  </w:num>
  <w:num w:numId="98" w16cid:durableId="76830756">
    <w:abstractNumId w:val="114"/>
  </w:num>
  <w:num w:numId="99" w16cid:durableId="519469387">
    <w:abstractNumId w:val="41"/>
  </w:num>
  <w:num w:numId="100" w16cid:durableId="225065871">
    <w:abstractNumId w:val="109"/>
  </w:num>
  <w:num w:numId="101" w16cid:durableId="838470735">
    <w:abstractNumId w:val="99"/>
  </w:num>
  <w:num w:numId="102" w16cid:durableId="917595621">
    <w:abstractNumId w:val="85"/>
  </w:num>
  <w:num w:numId="103" w16cid:durableId="1731466646">
    <w:abstractNumId w:val="11"/>
  </w:num>
  <w:num w:numId="104" w16cid:durableId="224461913">
    <w:abstractNumId w:val="56"/>
  </w:num>
  <w:num w:numId="105" w16cid:durableId="1047266090">
    <w:abstractNumId w:val="62"/>
  </w:num>
  <w:num w:numId="106" w16cid:durableId="1974942112">
    <w:abstractNumId w:val="95"/>
  </w:num>
  <w:num w:numId="107" w16cid:durableId="314262625">
    <w:abstractNumId w:val="102"/>
  </w:num>
  <w:num w:numId="108" w16cid:durableId="1741633746">
    <w:abstractNumId w:val="34"/>
  </w:num>
  <w:num w:numId="109" w16cid:durableId="819465080">
    <w:abstractNumId w:val="58"/>
  </w:num>
  <w:num w:numId="110" w16cid:durableId="326907636">
    <w:abstractNumId w:val="92"/>
  </w:num>
  <w:num w:numId="111" w16cid:durableId="254939615">
    <w:abstractNumId w:val="77"/>
  </w:num>
  <w:num w:numId="112" w16cid:durableId="1025403362">
    <w:abstractNumId w:val="76"/>
  </w:num>
  <w:num w:numId="113" w16cid:durableId="1067612802">
    <w:abstractNumId w:val="40"/>
  </w:num>
  <w:num w:numId="114" w16cid:durableId="1010061545">
    <w:abstractNumId w:val="74"/>
  </w:num>
  <w:num w:numId="115" w16cid:durableId="1005279934">
    <w:abstractNumId w:val="88"/>
  </w:num>
  <w:num w:numId="116" w16cid:durableId="2072459019">
    <w:abstractNumId w:val="91"/>
  </w:num>
  <w:num w:numId="117" w16cid:durableId="1324312512">
    <w:abstractNumId w:val="120"/>
  </w:num>
  <w:num w:numId="118" w16cid:durableId="116684097">
    <w:abstractNumId w:val="2"/>
  </w:num>
  <w:num w:numId="119" w16cid:durableId="1826122965">
    <w:abstractNumId w:val="100"/>
  </w:num>
  <w:num w:numId="120" w16cid:durableId="74715152">
    <w:abstractNumId w:val="80"/>
  </w:num>
  <w:num w:numId="121" w16cid:durableId="1544948502">
    <w:abstractNumId w:val="118"/>
  </w:num>
  <w:num w:numId="122" w16cid:durableId="2012218161">
    <w:abstractNumId w:val="20"/>
  </w:num>
  <w:num w:numId="123" w16cid:durableId="86463331">
    <w:abstractNumId w:val="47"/>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3030"/>
    <w:rsid w:val="00020C89"/>
    <w:rsid w:val="00034862"/>
    <w:rsid w:val="000562EC"/>
    <w:rsid w:val="000608AA"/>
    <w:rsid w:val="00061FDC"/>
    <w:rsid w:val="0007078D"/>
    <w:rsid w:val="00080226"/>
    <w:rsid w:val="000915EA"/>
    <w:rsid w:val="000B0018"/>
    <w:rsid w:val="000B14C0"/>
    <w:rsid w:val="000C1E4C"/>
    <w:rsid w:val="000C73D0"/>
    <w:rsid w:val="000E0A01"/>
    <w:rsid w:val="0011065F"/>
    <w:rsid w:val="00137B48"/>
    <w:rsid w:val="00151385"/>
    <w:rsid w:val="001559C6"/>
    <w:rsid w:val="00161F03"/>
    <w:rsid w:val="001C3A2B"/>
    <w:rsid w:val="001F5B8B"/>
    <w:rsid w:val="00203058"/>
    <w:rsid w:val="00213798"/>
    <w:rsid w:val="00246134"/>
    <w:rsid w:val="00246CD0"/>
    <w:rsid w:val="00283151"/>
    <w:rsid w:val="00283672"/>
    <w:rsid w:val="002A26E3"/>
    <w:rsid w:val="002D2563"/>
    <w:rsid w:val="002E27B9"/>
    <w:rsid w:val="002E3F13"/>
    <w:rsid w:val="002F3B93"/>
    <w:rsid w:val="00302386"/>
    <w:rsid w:val="00362AF9"/>
    <w:rsid w:val="00367B5B"/>
    <w:rsid w:val="0038695F"/>
    <w:rsid w:val="0039004C"/>
    <w:rsid w:val="00394F35"/>
    <w:rsid w:val="003A4BA4"/>
    <w:rsid w:val="003B6DC7"/>
    <w:rsid w:val="003C55AB"/>
    <w:rsid w:val="003C5A82"/>
    <w:rsid w:val="003F13DF"/>
    <w:rsid w:val="00433030"/>
    <w:rsid w:val="00466B30"/>
    <w:rsid w:val="004878C1"/>
    <w:rsid w:val="00493C1D"/>
    <w:rsid w:val="004E07DD"/>
    <w:rsid w:val="004E4381"/>
    <w:rsid w:val="005155C7"/>
    <w:rsid w:val="005761B1"/>
    <w:rsid w:val="005761B6"/>
    <w:rsid w:val="005C1583"/>
    <w:rsid w:val="00600479"/>
    <w:rsid w:val="00613FD0"/>
    <w:rsid w:val="0061456B"/>
    <w:rsid w:val="00624316"/>
    <w:rsid w:val="00624485"/>
    <w:rsid w:val="006350A3"/>
    <w:rsid w:val="00636911"/>
    <w:rsid w:val="00654448"/>
    <w:rsid w:val="00664F6D"/>
    <w:rsid w:val="006956A0"/>
    <w:rsid w:val="006B6EE8"/>
    <w:rsid w:val="006C1287"/>
    <w:rsid w:val="006C75A3"/>
    <w:rsid w:val="006E0C01"/>
    <w:rsid w:val="0070411F"/>
    <w:rsid w:val="00717BC7"/>
    <w:rsid w:val="00760BAC"/>
    <w:rsid w:val="00785BE2"/>
    <w:rsid w:val="007969E0"/>
    <w:rsid w:val="007A180F"/>
    <w:rsid w:val="007C6CA4"/>
    <w:rsid w:val="00812BE1"/>
    <w:rsid w:val="00874A5D"/>
    <w:rsid w:val="00881D25"/>
    <w:rsid w:val="00882319"/>
    <w:rsid w:val="008A410D"/>
    <w:rsid w:val="008B6EA5"/>
    <w:rsid w:val="008C163B"/>
    <w:rsid w:val="008C584A"/>
    <w:rsid w:val="008D6E98"/>
    <w:rsid w:val="008F6922"/>
    <w:rsid w:val="00911523"/>
    <w:rsid w:val="00926698"/>
    <w:rsid w:val="0094209A"/>
    <w:rsid w:val="00996902"/>
    <w:rsid w:val="009A4B77"/>
    <w:rsid w:val="009D370E"/>
    <w:rsid w:val="00A17EB1"/>
    <w:rsid w:val="00A36CBA"/>
    <w:rsid w:val="00A55A02"/>
    <w:rsid w:val="00A81344"/>
    <w:rsid w:val="00A84242"/>
    <w:rsid w:val="00AC07FA"/>
    <w:rsid w:val="00AD1C33"/>
    <w:rsid w:val="00AF118E"/>
    <w:rsid w:val="00AF5D3A"/>
    <w:rsid w:val="00B06993"/>
    <w:rsid w:val="00B318A7"/>
    <w:rsid w:val="00B94438"/>
    <w:rsid w:val="00BB25DF"/>
    <w:rsid w:val="00BF0D83"/>
    <w:rsid w:val="00C10AB8"/>
    <w:rsid w:val="00C51C29"/>
    <w:rsid w:val="00C617F2"/>
    <w:rsid w:val="00CA4843"/>
    <w:rsid w:val="00CB63D9"/>
    <w:rsid w:val="00CD12B4"/>
    <w:rsid w:val="00D050FE"/>
    <w:rsid w:val="00D205C8"/>
    <w:rsid w:val="00D22510"/>
    <w:rsid w:val="00D36DD9"/>
    <w:rsid w:val="00D52581"/>
    <w:rsid w:val="00D624A1"/>
    <w:rsid w:val="00D93FA5"/>
    <w:rsid w:val="00DC29D4"/>
    <w:rsid w:val="00DE312D"/>
    <w:rsid w:val="00DE6472"/>
    <w:rsid w:val="00E51A70"/>
    <w:rsid w:val="00E90F52"/>
    <w:rsid w:val="00EB41D2"/>
    <w:rsid w:val="00ED33C7"/>
    <w:rsid w:val="00EE6A47"/>
    <w:rsid w:val="00EF1A17"/>
    <w:rsid w:val="00F206D5"/>
    <w:rsid w:val="00F27569"/>
    <w:rsid w:val="00F30987"/>
    <w:rsid w:val="00F74833"/>
    <w:rsid w:val="00F84B57"/>
    <w:rsid w:val="00F9782E"/>
    <w:rsid w:val="00F9788E"/>
    <w:rsid w:val="00FC51DE"/>
    <w:rsid w:val="00FD78B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5918E0"/>
  <w15:chartTrackingRefBased/>
  <w15:docId w15:val="{E9B2A9DC-8DCA-42A8-B51D-769AC6970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aliases w:val="autor"/>
    <w:basedOn w:val="Normalny"/>
    <w:next w:val="Normalny"/>
    <w:link w:val="Nagwek1Znak"/>
    <w:qFormat/>
    <w:rsid w:val="009D370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aliases w:val="tytuł"/>
    <w:basedOn w:val="Normalny"/>
    <w:next w:val="Normalny"/>
    <w:link w:val="Nagwek2Znak"/>
    <w:unhideWhenUsed/>
    <w:qFormat/>
    <w:rsid w:val="005761B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link w:val="Nagwek3Znak"/>
    <w:qFormat/>
    <w:rsid w:val="005761B6"/>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paragraph" w:styleId="Nagwek4">
    <w:name w:val="heading 4"/>
    <w:basedOn w:val="Normalny"/>
    <w:next w:val="Normalny"/>
    <w:link w:val="Nagwek4Znak"/>
    <w:qFormat/>
    <w:rsid w:val="005761B6"/>
    <w:pPr>
      <w:keepNext/>
      <w:tabs>
        <w:tab w:val="num" w:pos="0"/>
      </w:tabs>
      <w:spacing w:before="240" w:after="60" w:line="240" w:lineRule="auto"/>
      <w:ind w:left="864" w:hanging="864"/>
      <w:outlineLvl w:val="3"/>
    </w:pPr>
    <w:rPr>
      <w:rFonts w:ascii="Times New Roman" w:eastAsia="Times New Roman" w:hAnsi="Times New Roman" w:cs="Times New Roman"/>
      <w:b/>
      <w:bCs/>
      <w:sz w:val="28"/>
      <w:szCs w:val="28"/>
      <w:lang w:eastAsia="pl-PL"/>
    </w:rPr>
  </w:style>
  <w:style w:type="paragraph" w:styleId="Nagwek5">
    <w:name w:val="heading 5"/>
    <w:basedOn w:val="Normalny"/>
    <w:next w:val="Normalny"/>
    <w:link w:val="Nagwek5Znak"/>
    <w:qFormat/>
    <w:rsid w:val="005761B6"/>
    <w:pPr>
      <w:tabs>
        <w:tab w:val="num" w:pos="0"/>
      </w:tabs>
      <w:spacing w:before="240" w:after="60" w:line="240" w:lineRule="auto"/>
      <w:ind w:left="1008" w:hanging="1008"/>
      <w:outlineLvl w:val="4"/>
    </w:pPr>
    <w:rPr>
      <w:rFonts w:ascii="Times New Roman" w:eastAsia="Times New Roman" w:hAnsi="Times New Roman" w:cs="Times New Roman"/>
      <w:b/>
      <w:bCs/>
      <w:i/>
      <w:iCs/>
      <w:sz w:val="26"/>
      <w:szCs w:val="26"/>
      <w:lang w:eastAsia="pl-PL"/>
    </w:rPr>
  </w:style>
  <w:style w:type="paragraph" w:styleId="Nagwek6">
    <w:name w:val="heading 6"/>
    <w:basedOn w:val="Normalny"/>
    <w:next w:val="Normalny"/>
    <w:link w:val="Nagwek6Znak"/>
    <w:qFormat/>
    <w:rsid w:val="005761B6"/>
    <w:pPr>
      <w:tabs>
        <w:tab w:val="num" w:pos="0"/>
      </w:tabs>
      <w:spacing w:before="240" w:after="60" w:line="240" w:lineRule="auto"/>
      <w:ind w:left="1152" w:hanging="1152"/>
      <w:outlineLvl w:val="5"/>
    </w:pPr>
    <w:rPr>
      <w:rFonts w:ascii="Calibri" w:eastAsia="Times New Roman" w:hAnsi="Calibri" w:cs="Times New Roman"/>
      <w:b/>
      <w:bCs/>
      <w:lang w:eastAsia="pl-PL"/>
    </w:rPr>
  </w:style>
  <w:style w:type="paragraph" w:styleId="Nagwek7">
    <w:name w:val="heading 7"/>
    <w:basedOn w:val="Normalny"/>
    <w:next w:val="Normalny"/>
    <w:link w:val="Nagwek7Znak"/>
    <w:qFormat/>
    <w:rsid w:val="005761B6"/>
    <w:pPr>
      <w:tabs>
        <w:tab w:val="num" w:pos="0"/>
      </w:tabs>
      <w:spacing w:before="240" w:after="60" w:line="240" w:lineRule="auto"/>
      <w:ind w:left="1296" w:hanging="1296"/>
      <w:outlineLvl w:val="6"/>
    </w:pPr>
    <w:rPr>
      <w:rFonts w:ascii="Calibri" w:eastAsia="Times New Roman" w:hAnsi="Calibri" w:cs="Times New Roman"/>
      <w:sz w:val="24"/>
      <w:szCs w:val="24"/>
      <w:lang w:eastAsia="pl-PL"/>
    </w:rPr>
  </w:style>
  <w:style w:type="paragraph" w:styleId="Nagwek8">
    <w:name w:val="heading 8"/>
    <w:basedOn w:val="Normalny"/>
    <w:next w:val="Normalny"/>
    <w:link w:val="Nagwek8Znak"/>
    <w:qFormat/>
    <w:rsid w:val="005761B6"/>
    <w:pPr>
      <w:tabs>
        <w:tab w:val="num" w:pos="0"/>
      </w:tabs>
      <w:spacing w:before="240" w:after="60" w:line="240" w:lineRule="auto"/>
      <w:ind w:left="1440" w:hanging="1440"/>
      <w:outlineLvl w:val="7"/>
    </w:pPr>
    <w:rPr>
      <w:rFonts w:ascii="Calibri" w:eastAsia="Times New Roman" w:hAnsi="Calibri" w:cs="Times New Roman"/>
      <w:i/>
      <w:iCs/>
      <w:sz w:val="24"/>
      <w:szCs w:val="24"/>
      <w:lang w:eastAsia="pl-PL"/>
    </w:rPr>
  </w:style>
  <w:style w:type="paragraph" w:styleId="Nagwek9">
    <w:name w:val="heading 9"/>
    <w:basedOn w:val="Normalny"/>
    <w:next w:val="Normalny"/>
    <w:link w:val="Nagwek9Znak"/>
    <w:qFormat/>
    <w:rsid w:val="005761B6"/>
    <w:pPr>
      <w:tabs>
        <w:tab w:val="num" w:pos="0"/>
      </w:tabs>
      <w:spacing w:before="240" w:after="60" w:line="240" w:lineRule="auto"/>
      <w:ind w:left="1584" w:hanging="1584"/>
      <w:outlineLvl w:val="8"/>
    </w:pPr>
    <w:rPr>
      <w:rFonts w:ascii="Calibri Light" w:eastAsia="Times New Roman" w:hAnsi="Calibri Light" w:cs="Times New Roman"/>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20C8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20C89"/>
  </w:style>
  <w:style w:type="paragraph" w:styleId="Stopka">
    <w:name w:val="footer"/>
    <w:basedOn w:val="Normalny"/>
    <w:link w:val="StopkaZnak"/>
    <w:uiPriority w:val="99"/>
    <w:unhideWhenUsed/>
    <w:rsid w:val="00020C8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20C89"/>
  </w:style>
  <w:style w:type="paragraph" w:styleId="Akapitzlist">
    <w:name w:val="List Paragraph"/>
    <w:basedOn w:val="Normalny"/>
    <w:uiPriority w:val="34"/>
    <w:qFormat/>
    <w:rsid w:val="000608AA"/>
    <w:pPr>
      <w:ind w:left="720"/>
      <w:contextualSpacing/>
    </w:pPr>
  </w:style>
  <w:style w:type="paragraph" w:styleId="NormalnyWeb">
    <w:name w:val="Normal (Web)"/>
    <w:basedOn w:val="Normalny"/>
    <w:uiPriority w:val="99"/>
    <w:unhideWhenUsed/>
    <w:rsid w:val="00AC07F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nhideWhenUsed/>
    <w:rsid w:val="00AC07FA"/>
    <w:rPr>
      <w:color w:val="0563C1" w:themeColor="hyperlink"/>
      <w:u w:val="single"/>
    </w:rPr>
  </w:style>
  <w:style w:type="character" w:styleId="Nierozpoznanawzmianka">
    <w:name w:val="Unresolved Mention"/>
    <w:basedOn w:val="Domylnaczcionkaakapitu"/>
    <w:uiPriority w:val="99"/>
    <w:semiHidden/>
    <w:unhideWhenUsed/>
    <w:rsid w:val="00AC07FA"/>
    <w:rPr>
      <w:color w:val="605E5C"/>
      <w:shd w:val="clear" w:color="auto" w:fill="E1DFDD"/>
    </w:rPr>
  </w:style>
  <w:style w:type="character" w:customStyle="1" w:styleId="Nagwek1Znak">
    <w:name w:val="Nagłówek 1 Znak"/>
    <w:aliases w:val="autor Znak"/>
    <w:basedOn w:val="Domylnaczcionkaakapitu"/>
    <w:link w:val="Nagwek1"/>
    <w:rsid w:val="009D370E"/>
    <w:rPr>
      <w:rFonts w:asciiTheme="majorHAnsi" w:eastAsiaTheme="majorEastAsia" w:hAnsiTheme="majorHAnsi" w:cstheme="majorBidi"/>
      <w:color w:val="2F5496" w:themeColor="accent1" w:themeShade="BF"/>
      <w:sz w:val="32"/>
      <w:szCs w:val="32"/>
    </w:rPr>
  </w:style>
  <w:style w:type="table" w:styleId="Tabela-Siatka">
    <w:name w:val="Table Grid"/>
    <w:basedOn w:val="Standardowy"/>
    <w:uiPriority w:val="59"/>
    <w:rsid w:val="002E3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aliases w:val="tytuł Znak"/>
    <w:basedOn w:val="Domylnaczcionkaakapitu"/>
    <w:link w:val="Nagwek2"/>
    <w:rsid w:val="005761B6"/>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5761B6"/>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rsid w:val="005761B6"/>
    <w:rPr>
      <w:rFonts w:ascii="Times New Roman" w:eastAsia="Times New Roman" w:hAnsi="Times New Roman" w:cs="Times New Roman"/>
      <w:b/>
      <w:bCs/>
      <w:sz w:val="28"/>
      <w:szCs w:val="28"/>
      <w:lang w:eastAsia="pl-PL"/>
    </w:rPr>
  </w:style>
  <w:style w:type="character" w:customStyle="1" w:styleId="Nagwek5Znak">
    <w:name w:val="Nagłówek 5 Znak"/>
    <w:basedOn w:val="Domylnaczcionkaakapitu"/>
    <w:link w:val="Nagwek5"/>
    <w:rsid w:val="005761B6"/>
    <w:rPr>
      <w:rFonts w:ascii="Times New Roman" w:eastAsia="Times New Roman" w:hAnsi="Times New Roman" w:cs="Times New Roman"/>
      <w:b/>
      <w:bCs/>
      <w:i/>
      <w:iCs/>
      <w:sz w:val="26"/>
      <w:szCs w:val="26"/>
      <w:lang w:eastAsia="pl-PL"/>
    </w:rPr>
  </w:style>
  <w:style w:type="character" w:customStyle="1" w:styleId="Nagwek6Znak">
    <w:name w:val="Nagłówek 6 Znak"/>
    <w:basedOn w:val="Domylnaczcionkaakapitu"/>
    <w:link w:val="Nagwek6"/>
    <w:rsid w:val="005761B6"/>
    <w:rPr>
      <w:rFonts w:ascii="Calibri" w:eastAsia="Times New Roman" w:hAnsi="Calibri" w:cs="Times New Roman"/>
      <w:b/>
      <w:bCs/>
      <w:lang w:eastAsia="pl-PL"/>
    </w:rPr>
  </w:style>
  <w:style w:type="character" w:customStyle="1" w:styleId="Nagwek7Znak">
    <w:name w:val="Nagłówek 7 Znak"/>
    <w:basedOn w:val="Domylnaczcionkaakapitu"/>
    <w:link w:val="Nagwek7"/>
    <w:rsid w:val="005761B6"/>
    <w:rPr>
      <w:rFonts w:ascii="Calibri" w:eastAsia="Times New Roman" w:hAnsi="Calibri" w:cs="Times New Roman"/>
      <w:sz w:val="24"/>
      <w:szCs w:val="24"/>
      <w:lang w:eastAsia="pl-PL"/>
    </w:rPr>
  </w:style>
  <w:style w:type="character" w:customStyle="1" w:styleId="Nagwek8Znak">
    <w:name w:val="Nagłówek 8 Znak"/>
    <w:basedOn w:val="Domylnaczcionkaakapitu"/>
    <w:link w:val="Nagwek8"/>
    <w:rsid w:val="005761B6"/>
    <w:rPr>
      <w:rFonts w:ascii="Calibri" w:eastAsia="Times New Roman" w:hAnsi="Calibri" w:cs="Times New Roman"/>
      <w:i/>
      <w:iCs/>
      <w:sz w:val="24"/>
      <w:szCs w:val="24"/>
      <w:lang w:eastAsia="pl-PL"/>
    </w:rPr>
  </w:style>
  <w:style w:type="character" w:customStyle="1" w:styleId="Nagwek9Znak">
    <w:name w:val="Nagłówek 9 Znak"/>
    <w:basedOn w:val="Domylnaczcionkaakapitu"/>
    <w:link w:val="Nagwek9"/>
    <w:rsid w:val="005761B6"/>
    <w:rPr>
      <w:rFonts w:ascii="Calibri Light" w:eastAsia="Times New Roman" w:hAnsi="Calibri Light" w:cs="Times New Roman"/>
      <w:lang w:eastAsia="pl-PL"/>
    </w:rPr>
  </w:style>
  <w:style w:type="paragraph" w:customStyle="1" w:styleId="Default">
    <w:name w:val="Default"/>
    <w:rsid w:val="005761B6"/>
    <w:pPr>
      <w:autoSpaceDE w:val="0"/>
      <w:autoSpaceDN w:val="0"/>
      <w:adjustRightInd w:val="0"/>
      <w:spacing w:after="0" w:line="240" w:lineRule="auto"/>
    </w:pPr>
    <w:rPr>
      <w:rFonts w:ascii="Segoe UI" w:hAnsi="Segoe UI" w:cs="Segoe UI"/>
      <w:color w:val="000000"/>
      <w:sz w:val="24"/>
      <w:szCs w:val="24"/>
    </w:rPr>
  </w:style>
  <w:style w:type="paragraph" w:styleId="Tekstdymka">
    <w:name w:val="Balloon Text"/>
    <w:basedOn w:val="Normalny"/>
    <w:link w:val="TekstdymkaZnak"/>
    <w:unhideWhenUsed/>
    <w:rsid w:val="005761B6"/>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rsid w:val="005761B6"/>
    <w:rPr>
      <w:rFonts w:ascii="Tahoma" w:hAnsi="Tahoma" w:cs="Tahoma"/>
      <w:sz w:val="16"/>
      <w:szCs w:val="16"/>
    </w:rPr>
  </w:style>
  <w:style w:type="character" w:styleId="Pogrubienie">
    <w:name w:val="Strong"/>
    <w:aliases w:val="Tekst treści (17) + 7 pt,Tekst treści + 8,5 pt6,Kursywa2,Tekst treści + 10,Kursywa3,Tekst treści (4) + 7 pt1,Podpis tabeli + 7,5 pt2,Tekst treści (18) + 7 pt,Kursywa,Tekst treści + Corbel,6,Stopka (2) + 73,Bez pogrubienia3,Bez kursywy8"/>
    <w:basedOn w:val="Domylnaczcionkaakapitu"/>
    <w:uiPriority w:val="22"/>
    <w:qFormat/>
    <w:rsid w:val="005761B6"/>
    <w:rPr>
      <w:b/>
      <w:bCs/>
    </w:rPr>
  </w:style>
  <w:style w:type="character" w:customStyle="1" w:styleId="name">
    <w:name w:val="name"/>
    <w:basedOn w:val="Domylnaczcionkaakapitu"/>
    <w:rsid w:val="005761B6"/>
  </w:style>
  <w:style w:type="character" w:customStyle="1" w:styleId="dl-gallery-slides-count">
    <w:name w:val="dl-gallery-slides-count"/>
    <w:basedOn w:val="Domylnaczcionkaakapitu"/>
    <w:rsid w:val="005761B6"/>
  </w:style>
  <w:style w:type="character" w:customStyle="1" w:styleId="dl-gallery-copyright">
    <w:name w:val="dl-gallery-copyright"/>
    <w:basedOn w:val="Domylnaczcionkaakapitu"/>
    <w:rsid w:val="005761B6"/>
  </w:style>
  <w:style w:type="paragraph" w:customStyle="1" w:styleId="hyphenate">
    <w:name w:val="hyphenate"/>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uthor">
    <w:name w:val="author"/>
    <w:basedOn w:val="Domylnaczcionkaakapitu"/>
    <w:rsid w:val="005761B6"/>
  </w:style>
  <w:style w:type="character" w:customStyle="1" w:styleId="Legenda1">
    <w:name w:val="Legenda1"/>
    <w:basedOn w:val="Domylnaczcionkaakapitu"/>
    <w:rsid w:val="005761B6"/>
  </w:style>
  <w:style w:type="paragraph" w:customStyle="1" w:styleId="Tytu1">
    <w:name w:val="Tytuł1"/>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dl-gallery-item-counter">
    <w:name w:val="dl-gallery-item-counter"/>
    <w:basedOn w:val="Domylnaczcionkaakapitu"/>
    <w:rsid w:val="005761B6"/>
  </w:style>
  <w:style w:type="character" w:customStyle="1" w:styleId="dl-gallery-item-title">
    <w:name w:val="dl-gallery-item-title"/>
    <w:basedOn w:val="Domylnaczcionkaakapitu"/>
    <w:rsid w:val="005761B6"/>
  </w:style>
  <w:style w:type="character" w:customStyle="1" w:styleId="dl-gallery-item-copyright">
    <w:name w:val="dl-gallery-item-copyright"/>
    <w:basedOn w:val="Domylnaczcionkaakapitu"/>
    <w:rsid w:val="005761B6"/>
  </w:style>
  <w:style w:type="character" w:customStyle="1" w:styleId="datelabel">
    <w:name w:val="datelabel"/>
    <w:basedOn w:val="Domylnaczcionkaakapitu"/>
    <w:rsid w:val="005761B6"/>
  </w:style>
  <w:style w:type="character" w:customStyle="1" w:styleId="datepublishedcontent">
    <w:name w:val="datepublishedcontent"/>
    <w:basedOn w:val="Domylnaczcionkaakapitu"/>
    <w:rsid w:val="005761B6"/>
  </w:style>
  <w:style w:type="character" w:customStyle="1" w:styleId="authoritemtagline">
    <w:name w:val="authoritemtagline"/>
    <w:basedOn w:val="Domylnaczcionkaakapitu"/>
    <w:rsid w:val="005761B6"/>
  </w:style>
  <w:style w:type="paragraph" w:styleId="Nagwekspisutreci">
    <w:name w:val="TOC Heading"/>
    <w:basedOn w:val="Nagwek1"/>
    <w:next w:val="Normalny"/>
    <w:unhideWhenUsed/>
    <w:qFormat/>
    <w:rsid w:val="005761B6"/>
    <w:pPr>
      <w:spacing w:before="480" w:line="276" w:lineRule="auto"/>
      <w:outlineLvl w:val="9"/>
    </w:pPr>
    <w:rPr>
      <w:b/>
      <w:bCs/>
      <w:sz w:val="28"/>
      <w:szCs w:val="28"/>
      <w:lang w:eastAsia="pl-PL"/>
    </w:rPr>
  </w:style>
  <w:style w:type="paragraph" w:styleId="Spistreci1">
    <w:name w:val="toc 1"/>
    <w:basedOn w:val="Normalny"/>
    <w:next w:val="Normalny"/>
    <w:autoRedefine/>
    <w:unhideWhenUsed/>
    <w:rsid w:val="005761B6"/>
    <w:pPr>
      <w:tabs>
        <w:tab w:val="left" w:pos="440"/>
        <w:tab w:val="right" w:leader="dot" w:pos="9062"/>
      </w:tabs>
      <w:spacing w:after="100" w:line="276" w:lineRule="auto"/>
    </w:pPr>
  </w:style>
  <w:style w:type="paragraph" w:styleId="Spistreci2">
    <w:name w:val="toc 2"/>
    <w:basedOn w:val="Normalny"/>
    <w:next w:val="Normalny"/>
    <w:autoRedefine/>
    <w:unhideWhenUsed/>
    <w:rsid w:val="005761B6"/>
    <w:pPr>
      <w:spacing w:after="100" w:line="276" w:lineRule="auto"/>
      <w:ind w:left="220"/>
    </w:pPr>
  </w:style>
  <w:style w:type="paragraph" w:styleId="Spistreci3">
    <w:name w:val="toc 3"/>
    <w:basedOn w:val="Normalny"/>
    <w:next w:val="Normalny"/>
    <w:autoRedefine/>
    <w:unhideWhenUsed/>
    <w:rsid w:val="005761B6"/>
    <w:pPr>
      <w:spacing w:after="100" w:line="276" w:lineRule="auto"/>
      <w:ind w:left="440"/>
    </w:pPr>
  </w:style>
  <w:style w:type="paragraph" w:styleId="Tekstprzypisudolnego">
    <w:name w:val="footnote text"/>
    <w:aliases w:val="Podrozdział,Tekst przypisu1,Tekst przypisu2,Tekst przypisu3,Przypis dolny,Footnote,Podrozdzia3,Znak Znak,Fußnote,-E Fuﬂnotentext,Fuﬂnotentext Ursprung,Fußnotentext Ursprung,-E Fußnotentext,Footnote text,KIELCE_przypis_dolny"/>
    <w:basedOn w:val="Normalny"/>
    <w:link w:val="TekstprzypisudolnegoZnak"/>
    <w:uiPriority w:val="99"/>
    <w:unhideWhenUsed/>
    <w:rsid w:val="005761B6"/>
    <w:pPr>
      <w:spacing w:after="0" w:line="240" w:lineRule="auto"/>
    </w:pPr>
    <w:rPr>
      <w:sz w:val="20"/>
      <w:szCs w:val="20"/>
    </w:rPr>
  </w:style>
  <w:style w:type="character" w:customStyle="1" w:styleId="TekstprzypisudolnegoZnak">
    <w:name w:val="Tekst przypisu dolnego Znak"/>
    <w:aliases w:val="Podrozdział Znak,Tekst przypisu1 Znak,Tekst przypisu2 Znak,Tekst przypisu3 Znak,Przypis dolny Znak,Footnote Znak,Podrozdzia3 Znak,Znak Znak Znak,Fußnote Znak,-E Fuﬂnotentext Znak,Fuﬂnotentext Ursprung Znak,Footnote text Znak"/>
    <w:basedOn w:val="Domylnaczcionkaakapitu"/>
    <w:link w:val="Tekstprzypisudolnego"/>
    <w:uiPriority w:val="99"/>
    <w:rsid w:val="005761B6"/>
    <w:rPr>
      <w:sz w:val="20"/>
      <w:szCs w:val="20"/>
    </w:rPr>
  </w:style>
  <w:style w:type="character" w:styleId="Odwoanieprzypisudolnego">
    <w:name w:val="footnote reference"/>
    <w:aliases w:val="Odwo³anie przypisu,Odwołanie przypisu1,Odwołanie przypisu2,Footnote Reference Number,Odwołanie przypisu,OdwołaniePrzypisu,FZ,(Voetnootmarkering)"/>
    <w:basedOn w:val="Domylnaczcionkaakapitu"/>
    <w:unhideWhenUsed/>
    <w:rsid w:val="005761B6"/>
    <w:rPr>
      <w:vertAlign w:val="superscript"/>
    </w:rPr>
  </w:style>
  <w:style w:type="character" w:styleId="Uwydatnienie">
    <w:name w:val="Emphasis"/>
    <w:basedOn w:val="Domylnaczcionkaakapitu"/>
    <w:qFormat/>
    <w:rsid w:val="005761B6"/>
    <w:rPr>
      <w:i/>
      <w:iCs/>
    </w:rPr>
  </w:style>
  <w:style w:type="character" w:customStyle="1" w:styleId="tgc">
    <w:name w:val="_tgc"/>
    <w:basedOn w:val="Domylnaczcionkaakapitu"/>
    <w:rsid w:val="005761B6"/>
  </w:style>
  <w:style w:type="character" w:styleId="Numerstrony">
    <w:name w:val="page number"/>
    <w:basedOn w:val="Domylnaczcionkaakapitu"/>
    <w:rsid w:val="005761B6"/>
  </w:style>
  <w:style w:type="paragraph" w:styleId="Tekstpodstawowy">
    <w:name w:val="Body Text"/>
    <w:aliases w:val=" Znak,bt,b,Tekst podstawowy Znak Znak Znak Znak Znak Znak Znak Znak,block style,Tekst podstawowy Znak Znak Znak Znak Znak,Tekst podstawowy Znak Znak Znak,Tekst podstawowy Znak Znak Znak Znak Znak Znak,szaro,aga,Regulacje,definicje,Znak"/>
    <w:basedOn w:val="Normalny"/>
    <w:link w:val="TekstpodstawowyZnak"/>
    <w:rsid w:val="005761B6"/>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aliases w:val=" Znak Znak,bt Znak,b Znak,Tekst podstawowy Znak Znak Znak Znak Znak Znak Znak Znak Znak,block style Znak,Tekst podstawowy Znak Znak Znak Znak Znak Znak1,Tekst podstawowy Znak Znak Znak Znak,szaro Znak,aga Znak,Regulacje Znak"/>
    <w:basedOn w:val="Domylnaczcionkaakapitu"/>
    <w:link w:val="Tekstpodstawowy"/>
    <w:rsid w:val="005761B6"/>
    <w:rPr>
      <w:rFonts w:ascii="Times New Roman" w:eastAsia="Times New Roman" w:hAnsi="Times New Roman" w:cs="Times New Roman"/>
      <w:sz w:val="24"/>
      <w:szCs w:val="24"/>
      <w:lang w:eastAsia="pl-PL"/>
    </w:rPr>
  </w:style>
  <w:style w:type="character" w:customStyle="1" w:styleId="Textodocorpo">
    <w:name w:val="Texto do corpo_"/>
    <w:link w:val="Textodocorpo1"/>
    <w:uiPriority w:val="99"/>
    <w:rsid w:val="005761B6"/>
    <w:rPr>
      <w:rFonts w:ascii="Century Schoolbook" w:hAnsi="Century Schoolbook"/>
      <w:b/>
      <w:bCs/>
      <w:sz w:val="16"/>
      <w:szCs w:val="16"/>
      <w:shd w:val="clear" w:color="auto" w:fill="FFFFFF"/>
    </w:rPr>
  </w:style>
  <w:style w:type="paragraph" w:customStyle="1" w:styleId="Textodocorpo1">
    <w:name w:val="Texto do corpo1"/>
    <w:basedOn w:val="Normalny"/>
    <w:link w:val="Textodocorpo"/>
    <w:uiPriority w:val="99"/>
    <w:rsid w:val="005761B6"/>
    <w:pPr>
      <w:shd w:val="clear" w:color="auto" w:fill="FFFFFF"/>
      <w:spacing w:before="480" w:after="300" w:line="240" w:lineRule="atLeast"/>
      <w:ind w:hanging="1840"/>
    </w:pPr>
    <w:rPr>
      <w:rFonts w:ascii="Century Schoolbook" w:hAnsi="Century Schoolbook"/>
      <w:b/>
      <w:bCs/>
      <w:sz w:val="16"/>
      <w:szCs w:val="16"/>
    </w:rPr>
  </w:style>
  <w:style w:type="paragraph" w:customStyle="1" w:styleId="Akapitzlist1">
    <w:name w:val="Akapit z listą1"/>
    <w:basedOn w:val="Normalny"/>
    <w:rsid w:val="005761B6"/>
    <w:pPr>
      <w:spacing w:after="0" w:line="240" w:lineRule="auto"/>
      <w:ind w:left="720"/>
      <w:contextualSpacing/>
    </w:pPr>
    <w:rPr>
      <w:rFonts w:ascii="Times New Roman" w:eastAsia="Calibri" w:hAnsi="Times New Roman" w:cs="Times New Roman"/>
      <w:sz w:val="20"/>
      <w:szCs w:val="20"/>
      <w:lang w:eastAsia="pl-PL"/>
    </w:rPr>
  </w:style>
  <w:style w:type="paragraph" w:styleId="Legenda">
    <w:name w:val="caption"/>
    <w:aliases w:val="Legenda (UE)"/>
    <w:basedOn w:val="Normalny"/>
    <w:next w:val="Normalny"/>
    <w:qFormat/>
    <w:rsid w:val="005761B6"/>
    <w:pPr>
      <w:spacing w:after="0" w:line="240" w:lineRule="auto"/>
    </w:pPr>
    <w:rPr>
      <w:rFonts w:ascii="Times New Roman" w:eastAsia="Times New Roman" w:hAnsi="Times New Roman" w:cs="Times New Roman"/>
      <w:b/>
      <w:bCs/>
      <w:sz w:val="20"/>
      <w:szCs w:val="20"/>
      <w:lang w:eastAsia="pl-PL"/>
    </w:rPr>
  </w:style>
  <w:style w:type="paragraph" w:customStyle="1" w:styleId="Tekstpodstawowy21">
    <w:name w:val="Tekst podstawowy 21"/>
    <w:basedOn w:val="Normalny"/>
    <w:rsid w:val="005761B6"/>
    <w:pPr>
      <w:tabs>
        <w:tab w:val="left" w:pos="-720"/>
      </w:tabs>
      <w:suppressAutoHyphens/>
      <w:spacing w:after="0" w:line="360" w:lineRule="auto"/>
      <w:jc w:val="both"/>
    </w:pPr>
    <w:rPr>
      <w:rFonts w:ascii="Times New Roman" w:eastAsia="Times New Roman" w:hAnsi="Times New Roman" w:cs="Times New Roman"/>
      <w:sz w:val="24"/>
      <w:szCs w:val="20"/>
      <w:lang w:eastAsia="pl-PL"/>
    </w:rPr>
  </w:style>
  <w:style w:type="paragraph" w:customStyle="1" w:styleId="Textodocorpo0">
    <w:name w:val="Texto do corpo"/>
    <w:basedOn w:val="Normalny"/>
    <w:rsid w:val="005761B6"/>
    <w:pPr>
      <w:shd w:val="clear" w:color="auto" w:fill="FFFFFF"/>
      <w:spacing w:after="120" w:line="370" w:lineRule="exact"/>
    </w:pPr>
    <w:rPr>
      <w:rFonts w:ascii="Times New Roman" w:eastAsia="Times New Roman" w:hAnsi="Times New Roman" w:cs="Times New Roman"/>
      <w:sz w:val="21"/>
      <w:szCs w:val="21"/>
      <w:lang w:eastAsia="pl-PL"/>
    </w:rPr>
  </w:style>
  <w:style w:type="character" w:styleId="Odwoanieprzypisukocowego">
    <w:name w:val="endnote reference"/>
    <w:semiHidden/>
    <w:rsid w:val="005761B6"/>
    <w:rPr>
      <w:vertAlign w:val="superscript"/>
    </w:rPr>
  </w:style>
  <w:style w:type="character" w:customStyle="1" w:styleId="Textodocorpo7pt">
    <w:name w:val="Texto do corpo + 7 pt"/>
    <w:rsid w:val="005761B6"/>
    <w:rPr>
      <w:rFonts w:ascii="Century Schoolbook" w:hAnsi="Century Schoolbook" w:cs="Century Schoolbook"/>
      <w:b/>
      <w:bCs/>
      <w:spacing w:val="0"/>
      <w:sz w:val="14"/>
      <w:szCs w:val="14"/>
      <w:lang w:bidi="ar-SA"/>
    </w:rPr>
  </w:style>
  <w:style w:type="character" w:customStyle="1" w:styleId="Textodocorpo18">
    <w:name w:val="Texto do corpo18"/>
    <w:rsid w:val="005761B6"/>
    <w:rPr>
      <w:rFonts w:ascii="Times New Roman" w:hAnsi="Times New Roman" w:cs="Times New Roman"/>
      <w:spacing w:val="0"/>
      <w:sz w:val="25"/>
      <w:szCs w:val="25"/>
      <w:lang w:bidi="ar-SA"/>
    </w:rPr>
  </w:style>
  <w:style w:type="character" w:customStyle="1" w:styleId="TeksttreciPogrubienie37">
    <w:name w:val="Tekst treści + Pogrubienie37"/>
    <w:rsid w:val="005761B6"/>
    <w:rPr>
      <w:rFonts w:ascii="Arial Unicode MS" w:eastAsia="Arial Unicode MS" w:cs="Arial Unicode MS"/>
      <w:b/>
      <w:bCs/>
      <w:spacing w:val="0"/>
      <w:sz w:val="24"/>
      <w:szCs w:val="24"/>
      <w:lang w:bidi="ar-SA"/>
    </w:rPr>
  </w:style>
  <w:style w:type="character" w:customStyle="1" w:styleId="ZnakZnak2">
    <w:name w:val="Znak Znak2"/>
    <w:locked/>
    <w:rsid w:val="005761B6"/>
    <w:rPr>
      <w:rFonts w:ascii="Arial" w:hAnsi="Arial" w:cs="Arial"/>
      <w:b/>
      <w:bCs/>
      <w:kern w:val="32"/>
      <w:sz w:val="32"/>
      <w:szCs w:val="32"/>
      <w:lang w:val="pl-PL" w:eastAsia="pl-PL" w:bidi="ar-SA"/>
    </w:rPr>
  </w:style>
  <w:style w:type="paragraph" w:customStyle="1" w:styleId="bodytext">
    <w:name w:val="bodytext"/>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Pogrubienie48">
    <w:name w:val="Tekst treści + Pogrubienie48"/>
    <w:rsid w:val="005761B6"/>
    <w:rPr>
      <w:rFonts w:ascii="Arial Unicode MS" w:eastAsia="Arial Unicode MS" w:cs="Arial Unicode MS"/>
      <w:b/>
      <w:bCs/>
      <w:spacing w:val="0"/>
      <w:sz w:val="24"/>
      <w:szCs w:val="24"/>
      <w:lang w:bidi="ar-SA"/>
    </w:rPr>
  </w:style>
  <w:style w:type="character" w:customStyle="1" w:styleId="apple-converted-space">
    <w:name w:val="apple-converted-space"/>
    <w:basedOn w:val="Domylnaczcionkaakapitu"/>
    <w:rsid w:val="005761B6"/>
  </w:style>
  <w:style w:type="paragraph" w:styleId="Tytu">
    <w:name w:val="Title"/>
    <w:basedOn w:val="Normalny"/>
    <w:next w:val="Normalny"/>
    <w:link w:val="TytuZnak"/>
    <w:autoRedefine/>
    <w:qFormat/>
    <w:rsid w:val="005761B6"/>
    <w:pPr>
      <w:spacing w:after="0" w:line="276" w:lineRule="auto"/>
      <w:jc w:val="center"/>
      <w:outlineLvl w:val="0"/>
    </w:pPr>
    <w:rPr>
      <w:rFonts w:ascii="Times New Roman" w:eastAsia="Times New Roman" w:hAnsi="Times New Roman" w:cs="Times New Roman"/>
      <w:b/>
      <w:noProof/>
      <w:sz w:val="24"/>
      <w:szCs w:val="32"/>
    </w:rPr>
  </w:style>
  <w:style w:type="character" w:customStyle="1" w:styleId="TytuZnak">
    <w:name w:val="Tytuł Znak"/>
    <w:basedOn w:val="Domylnaczcionkaakapitu"/>
    <w:link w:val="Tytu"/>
    <w:rsid w:val="005761B6"/>
    <w:rPr>
      <w:rFonts w:ascii="Times New Roman" w:eastAsia="Times New Roman" w:hAnsi="Times New Roman" w:cs="Times New Roman"/>
      <w:b/>
      <w:noProof/>
      <w:sz w:val="24"/>
      <w:szCs w:val="32"/>
    </w:rPr>
  </w:style>
  <w:style w:type="paragraph" w:styleId="Tekstprzypisukocowego">
    <w:name w:val="endnote text"/>
    <w:basedOn w:val="Normalny"/>
    <w:link w:val="TekstprzypisukocowegoZnak"/>
    <w:semiHidden/>
    <w:rsid w:val="005761B6"/>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semiHidden/>
    <w:rsid w:val="005761B6"/>
    <w:rPr>
      <w:rFonts w:ascii="Times New Roman" w:eastAsia="Times New Roman" w:hAnsi="Times New Roman" w:cs="Times New Roman"/>
      <w:sz w:val="20"/>
      <w:szCs w:val="20"/>
      <w:lang w:eastAsia="pl-PL"/>
    </w:rPr>
  </w:style>
  <w:style w:type="character" w:styleId="UyteHipercze">
    <w:name w:val="FollowedHyperlink"/>
    <w:unhideWhenUsed/>
    <w:rsid w:val="005761B6"/>
    <w:rPr>
      <w:color w:val="800080"/>
      <w:u w:val="single"/>
    </w:rPr>
  </w:style>
  <w:style w:type="paragraph" w:customStyle="1" w:styleId="xl63">
    <w:name w:val="xl63"/>
    <w:basedOn w:val="Normalny"/>
    <w:rsid w:val="005761B6"/>
    <w:pPr>
      <w:pBdr>
        <w:left w:val="single" w:sz="8" w:space="0" w:color="auto"/>
        <w:bottom w:val="single" w:sz="8" w:space="0" w:color="auto"/>
        <w:right w:val="single" w:sz="8" w:space="0" w:color="auto"/>
      </w:pBdr>
      <w:shd w:val="clear" w:color="000000" w:fill="969696"/>
      <w:spacing w:before="100" w:beforeAutospacing="1" w:after="100" w:afterAutospacing="1" w:line="240" w:lineRule="auto"/>
      <w:textAlignment w:val="center"/>
    </w:pPr>
    <w:rPr>
      <w:rFonts w:ascii="Arial Narrow" w:eastAsia="Times New Roman" w:hAnsi="Arial Narrow" w:cs="Times New Roman"/>
      <w:b/>
      <w:bCs/>
      <w:color w:val="000000"/>
      <w:sz w:val="16"/>
      <w:szCs w:val="16"/>
      <w:lang w:eastAsia="pl-PL"/>
    </w:rPr>
  </w:style>
  <w:style w:type="paragraph" w:customStyle="1" w:styleId="xl64">
    <w:name w:val="xl64"/>
    <w:basedOn w:val="Normalny"/>
    <w:rsid w:val="005761B6"/>
    <w:pPr>
      <w:pBdr>
        <w:bottom w:val="single" w:sz="8" w:space="0" w:color="auto"/>
        <w:right w:val="single" w:sz="8" w:space="0" w:color="auto"/>
      </w:pBdr>
      <w:shd w:val="clear" w:color="000000" w:fill="969696"/>
      <w:spacing w:before="100" w:beforeAutospacing="1" w:after="100" w:afterAutospacing="1" w:line="240" w:lineRule="auto"/>
      <w:textAlignment w:val="center"/>
    </w:pPr>
    <w:rPr>
      <w:rFonts w:ascii="Arial Narrow" w:eastAsia="Times New Roman" w:hAnsi="Arial Narrow" w:cs="Times New Roman"/>
      <w:color w:val="000000"/>
      <w:sz w:val="16"/>
      <w:szCs w:val="16"/>
      <w:lang w:eastAsia="pl-PL"/>
    </w:rPr>
  </w:style>
  <w:style w:type="paragraph" w:customStyle="1" w:styleId="xl65">
    <w:name w:val="xl65"/>
    <w:basedOn w:val="Normalny"/>
    <w:rsid w:val="005761B6"/>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Narrow" w:eastAsia="Times New Roman" w:hAnsi="Arial Narrow" w:cs="Times New Roman"/>
      <w:color w:val="000000"/>
      <w:sz w:val="16"/>
      <w:szCs w:val="16"/>
      <w:lang w:eastAsia="pl-PL"/>
    </w:rPr>
  </w:style>
  <w:style w:type="paragraph" w:customStyle="1" w:styleId="xl66">
    <w:name w:val="xl66"/>
    <w:basedOn w:val="Normalny"/>
    <w:rsid w:val="005761B6"/>
    <w:pPr>
      <w:pBdr>
        <w:left w:val="single" w:sz="8" w:space="0" w:color="auto"/>
        <w:bottom w:val="single" w:sz="8" w:space="0" w:color="auto"/>
        <w:right w:val="single" w:sz="8" w:space="0" w:color="auto"/>
      </w:pBdr>
      <w:shd w:val="clear" w:color="000000" w:fill="969696"/>
      <w:spacing w:before="100" w:beforeAutospacing="1" w:after="100" w:afterAutospacing="1" w:line="240" w:lineRule="auto"/>
      <w:textAlignment w:val="center"/>
    </w:pPr>
    <w:rPr>
      <w:rFonts w:ascii="Arial Narrow" w:eastAsia="Times New Roman" w:hAnsi="Arial Narrow" w:cs="Times New Roman"/>
      <w:color w:val="000000"/>
      <w:sz w:val="16"/>
      <w:szCs w:val="16"/>
      <w:lang w:eastAsia="pl-PL"/>
    </w:rPr>
  </w:style>
  <w:style w:type="paragraph" w:customStyle="1" w:styleId="xl67">
    <w:name w:val="xl67"/>
    <w:basedOn w:val="Normalny"/>
    <w:rsid w:val="005761B6"/>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Narrow" w:eastAsia="Times New Roman" w:hAnsi="Arial Narrow" w:cs="Times New Roman"/>
      <w:b/>
      <w:bCs/>
      <w:color w:val="000000"/>
      <w:sz w:val="16"/>
      <w:szCs w:val="16"/>
      <w:lang w:eastAsia="pl-PL"/>
    </w:rPr>
  </w:style>
  <w:style w:type="paragraph" w:customStyle="1" w:styleId="xl68">
    <w:name w:val="xl68"/>
    <w:basedOn w:val="Normalny"/>
    <w:rsid w:val="005761B6"/>
    <w:pPr>
      <w:pBdr>
        <w:bottom w:val="single" w:sz="8" w:space="0" w:color="auto"/>
        <w:right w:val="single" w:sz="8" w:space="0" w:color="auto"/>
      </w:pBdr>
      <w:spacing w:before="100" w:beforeAutospacing="1" w:after="100" w:afterAutospacing="1" w:line="240" w:lineRule="auto"/>
      <w:jc w:val="right"/>
      <w:textAlignment w:val="center"/>
    </w:pPr>
    <w:rPr>
      <w:rFonts w:ascii="Arial Narrow" w:eastAsia="Times New Roman" w:hAnsi="Arial Narrow" w:cs="Times New Roman"/>
      <w:color w:val="FF0000"/>
      <w:sz w:val="16"/>
      <w:szCs w:val="16"/>
      <w:lang w:eastAsia="pl-PL"/>
    </w:rPr>
  </w:style>
  <w:style w:type="paragraph" w:customStyle="1" w:styleId="xl69">
    <w:name w:val="xl69"/>
    <w:basedOn w:val="Normalny"/>
    <w:rsid w:val="005761B6"/>
    <w:pPr>
      <w:pBdr>
        <w:right w:val="single" w:sz="8" w:space="0" w:color="auto"/>
      </w:pBdr>
      <w:spacing w:before="100" w:beforeAutospacing="1" w:after="100" w:afterAutospacing="1" w:line="240" w:lineRule="auto"/>
      <w:jc w:val="right"/>
      <w:textAlignment w:val="center"/>
    </w:pPr>
    <w:rPr>
      <w:rFonts w:ascii="Arial Narrow" w:eastAsia="Times New Roman" w:hAnsi="Arial Narrow" w:cs="Times New Roman"/>
      <w:color w:val="FF0000"/>
      <w:sz w:val="16"/>
      <w:szCs w:val="16"/>
      <w:lang w:eastAsia="pl-PL"/>
    </w:rPr>
  </w:style>
  <w:style w:type="paragraph" w:customStyle="1" w:styleId="td-post-sub-title">
    <w:name w:val="td-post-sub-title"/>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a1">
    <w:name w:val="a1"/>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Heading2Char">
    <w:name w:val="Heading 2 Char"/>
    <w:aliases w:val="tytuł Char"/>
    <w:locked/>
    <w:rsid w:val="005761B6"/>
    <w:rPr>
      <w:rFonts w:ascii="Times New Roman" w:hAnsi="Times New Roman" w:cs="Times New Roman"/>
      <w:b/>
      <w:bCs/>
      <w:sz w:val="36"/>
      <w:szCs w:val="36"/>
      <w:lang w:val="x-none" w:eastAsia="pl-PL"/>
    </w:rPr>
  </w:style>
  <w:style w:type="paragraph" w:customStyle="1" w:styleId="font5">
    <w:name w:val="font5"/>
    <w:basedOn w:val="Normalny"/>
    <w:rsid w:val="005761B6"/>
    <w:pPr>
      <w:spacing w:before="100" w:beforeAutospacing="1" w:after="100" w:afterAutospacing="1" w:line="240" w:lineRule="auto"/>
    </w:pPr>
    <w:rPr>
      <w:rFonts w:ascii="Calibri" w:eastAsia="Calibri" w:hAnsi="Calibri" w:cs="Calibri"/>
      <w:lang w:eastAsia="pl-PL"/>
    </w:rPr>
  </w:style>
  <w:style w:type="paragraph" w:customStyle="1" w:styleId="xl70">
    <w:name w:val="xl70"/>
    <w:basedOn w:val="Normalny"/>
    <w:rsid w:val="005761B6"/>
    <w:pPr>
      <w:spacing w:before="100" w:beforeAutospacing="1" w:after="100" w:afterAutospacing="1" w:line="240" w:lineRule="auto"/>
    </w:pPr>
    <w:rPr>
      <w:rFonts w:ascii="Calibri" w:eastAsia="Calibri" w:hAnsi="Calibri" w:cs="Calibri"/>
      <w:sz w:val="24"/>
      <w:szCs w:val="24"/>
      <w:lang w:eastAsia="pl-PL"/>
    </w:rPr>
  </w:style>
  <w:style w:type="character" w:customStyle="1" w:styleId="FootnoteTextChar">
    <w:name w:val="Footnote Text Char"/>
    <w:aliases w:val="Podrozdział Char,Footnote Char,Podrozdzia3 Char,-E Fuﬂnotentext Char,Fuﬂnotentext Ursprung Char,Fußnotentext Ursprung Char,-E Fußnotentext Char,Footnote text Char,Tekst przypisu Znak Znak Znak Znak Char,Znak Znak Char,Przypis dolny Ch"/>
    <w:locked/>
    <w:rsid w:val="005761B6"/>
    <w:rPr>
      <w:rFonts w:ascii="Times New Roman" w:hAnsi="Times New Roman" w:cs="Times New Roman"/>
      <w:sz w:val="24"/>
      <w:szCs w:val="24"/>
      <w:lang w:val="x-none" w:eastAsia="pl-PL"/>
    </w:rPr>
  </w:style>
  <w:style w:type="paragraph" w:customStyle="1" w:styleId="Maszynopis">
    <w:name w:val="Maszynopis"/>
    <w:basedOn w:val="Normalny"/>
    <w:rsid w:val="005761B6"/>
    <w:pPr>
      <w:spacing w:after="0" w:line="480" w:lineRule="atLeast"/>
      <w:jc w:val="both"/>
    </w:pPr>
    <w:rPr>
      <w:rFonts w:ascii="Times New Roman" w:eastAsia="Calibri" w:hAnsi="Times New Roman" w:cs="Times New Roman"/>
      <w:spacing w:val="10"/>
      <w:sz w:val="24"/>
      <w:szCs w:val="20"/>
      <w:lang w:eastAsia="pl-PL"/>
    </w:rPr>
  </w:style>
  <w:style w:type="character" w:customStyle="1" w:styleId="FooterChar">
    <w:name w:val="Footer Char"/>
    <w:locked/>
    <w:rsid w:val="005761B6"/>
    <w:rPr>
      <w:rFonts w:ascii="Times New Roman" w:hAnsi="Times New Roman" w:cs="Times New Roman"/>
      <w:sz w:val="24"/>
      <w:szCs w:val="24"/>
      <w:lang w:val="x-none" w:eastAsia="pl-PL"/>
    </w:rPr>
  </w:style>
  <w:style w:type="character" w:customStyle="1" w:styleId="Znakiprzypiswdolnych">
    <w:name w:val="Znaki przypisów dolnych"/>
    <w:rsid w:val="005761B6"/>
  </w:style>
  <w:style w:type="paragraph" w:customStyle="1" w:styleId="Zawartotabeli">
    <w:name w:val="Zawartość tabeli"/>
    <w:basedOn w:val="Normalny"/>
    <w:rsid w:val="005761B6"/>
    <w:pPr>
      <w:widowControl w:val="0"/>
      <w:suppressLineNumbers/>
      <w:suppressAutoHyphens/>
      <w:spacing w:after="0" w:line="240" w:lineRule="auto"/>
    </w:pPr>
    <w:rPr>
      <w:rFonts w:ascii="Times New Roman" w:eastAsia="Times New Roman" w:hAnsi="Times New Roman" w:cs="Times New Roman"/>
      <w:kern w:val="1"/>
      <w:sz w:val="24"/>
      <w:szCs w:val="24"/>
      <w:lang w:eastAsia="pl-PL"/>
    </w:rPr>
  </w:style>
  <w:style w:type="paragraph" w:customStyle="1" w:styleId="Ewyformalny">
    <w:name w:val="Ewy formalny"/>
    <w:basedOn w:val="Tekstpodstawowyzwciciem"/>
    <w:rsid w:val="005761B6"/>
    <w:pPr>
      <w:spacing w:after="0"/>
      <w:ind w:firstLine="567"/>
      <w:jc w:val="both"/>
    </w:pPr>
    <w:rPr>
      <w:color w:val="000000"/>
    </w:rPr>
  </w:style>
  <w:style w:type="paragraph" w:styleId="Tekstpodstawowyzwciciem">
    <w:name w:val="Body Text First Indent"/>
    <w:basedOn w:val="Tekstpodstawowy"/>
    <w:link w:val="TekstpodstawowyzwciciemZnak"/>
    <w:rsid w:val="005761B6"/>
    <w:pPr>
      <w:ind w:firstLine="210"/>
    </w:pPr>
    <w:rPr>
      <w:rFonts w:eastAsia="Calibri"/>
    </w:rPr>
  </w:style>
  <w:style w:type="character" w:customStyle="1" w:styleId="TekstpodstawowyzwciciemZnak">
    <w:name w:val="Tekst podstawowy z wcięciem Znak"/>
    <w:basedOn w:val="TekstpodstawowyZnak"/>
    <w:link w:val="Tekstpodstawowyzwciciem"/>
    <w:rsid w:val="005761B6"/>
    <w:rPr>
      <w:rFonts w:ascii="Times New Roman" w:eastAsia="Calibri" w:hAnsi="Times New Roman" w:cs="Times New Roman"/>
      <w:sz w:val="24"/>
      <w:szCs w:val="24"/>
      <w:lang w:eastAsia="pl-PL"/>
    </w:rPr>
  </w:style>
  <w:style w:type="character" w:customStyle="1" w:styleId="BodyTextChar">
    <w:name w:val="Body Text Char"/>
    <w:aliases w:val="Znak Char,bt Char,b Char,Tekst podstawowy Znak Znak Znak Znak Znak Znak Znak Znak Char,block style Char,Tekst podstawowy Znak Znak Znak Znak Znak Char,Tekst podstawowy Znak Znak Znak Char,szaro Char,aga Char,Regulacje Char,definicje Cha"/>
    <w:semiHidden/>
    <w:locked/>
    <w:rsid w:val="005761B6"/>
    <w:rPr>
      <w:rFonts w:ascii="Times New Roman" w:hAnsi="Times New Roman" w:cs="Times New Roman"/>
      <w:sz w:val="24"/>
      <w:szCs w:val="24"/>
      <w:lang w:val="x-none" w:eastAsia="pl-PL"/>
    </w:rPr>
  </w:style>
  <w:style w:type="character" w:customStyle="1" w:styleId="arial141">
    <w:name w:val="arial141"/>
    <w:rsid w:val="005761B6"/>
    <w:rPr>
      <w:rFonts w:ascii="Arial" w:hAnsi="Arial"/>
      <w:color w:val="000024"/>
      <w:sz w:val="23"/>
    </w:rPr>
  </w:style>
  <w:style w:type="character" w:customStyle="1" w:styleId="EwyformalnyZnak">
    <w:name w:val="Ewy formalny Znak"/>
    <w:rsid w:val="005761B6"/>
    <w:rPr>
      <w:color w:val="000000"/>
      <w:sz w:val="24"/>
      <w:lang w:val="pl-PL" w:eastAsia="pl-PL"/>
    </w:rPr>
  </w:style>
  <w:style w:type="character" w:customStyle="1" w:styleId="Znak4">
    <w:name w:val="Znak4"/>
    <w:rsid w:val="005761B6"/>
    <w:rPr>
      <w:rFonts w:cs="Times New Roman"/>
    </w:rPr>
  </w:style>
  <w:style w:type="paragraph" w:styleId="Zwykytekst">
    <w:name w:val="Plain Text"/>
    <w:basedOn w:val="Normalny"/>
    <w:link w:val="ZwykytekstZnak"/>
    <w:rsid w:val="005761B6"/>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rsid w:val="005761B6"/>
    <w:rPr>
      <w:rFonts w:ascii="Courier New" w:eastAsia="Times New Roman" w:hAnsi="Courier New" w:cs="Courier New"/>
      <w:sz w:val="20"/>
      <w:szCs w:val="20"/>
      <w:lang w:eastAsia="pl-PL"/>
    </w:rPr>
  </w:style>
  <w:style w:type="paragraph" w:styleId="Tekstpodstawowywcity">
    <w:name w:val="Body Text Indent"/>
    <w:basedOn w:val="Normalny"/>
    <w:link w:val="TekstpodstawowywcityZnak"/>
    <w:rsid w:val="005761B6"/>
    <w:pPr>
      <w:spacing w:after="120" w:line="240" w:lineRule="auto"/>
      <w:ind w:left="283"/>
    </w:pPr>
    <w:rPr>
      <w:rFonts w:ascii="Times New Roman" w:eastAsia="Calibri"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5761B6"/>
    <w:rPr>
      <w:rFonts w:ascii="Times New Roman" w:eastAsia="Calibri" w:hAnsi="Times New Roman" w:cs="Times New Roman"/>
      <w:sz w:val="24"/>
      <w:szCs w:val="24"/>
      <w:lang w:eastAsia="pl-PL"/>
    </w:rPr>
  </w:style>
  <w:style w:type="paragraph" w:styleId="Tekstpodstawowy2">
    <w:name w:val="Body Text 2"/>
    <w:basedOn w:val="Normalny"/>
    <w:link w:val="Tekstpodstawowy2Znak"/>
    <w:rsid w:val="005761B6"/>
    <w:pPr>
      <w:spacing w:after="120" w:line="480" w:lineRule="auto"/>
    </w:pPr>
    <w:rPr>
      <w:rFonts w:ascii="Times New Roman" w:eastAsia="Calibri" w:hAnsi="Times New Roman" w:cs="Times New Roman"/>
      <w:sz w:val="24"/>
      <w:szCs w:val="24"/>
      <w:lang w:eastAsia="pl-PL"/>
    </w:rPr>
  </w:style>
  <w:style w:type="character" w:customStyle="1" w:styleId="Tekstpodstawowy2Znak">
    <w:name w:val="Tekst podstawowy 2 Znak"/>
    <w:basedOn w:val="Domylnaczcionkaakapitu"/>
    <w:link w:val="Tekstpodstawowy2"/>
    <w:rsid w:val="005761B6"/>
    <w:rPr>
      <w:rFonts w:ascii="Times New Roman" w:eastAsia="Calibri" w:hAnsi="Times New Roman" w:cs="Times New Roman"/>
      <w:sz w:val="24"/>
      <w:szCs w:val="24"/>
      <w:lang w:eastAsia="pl-PL"/>
    </w:rPr>
  </w:style>
  <w:style w:type="paragraph" w:styleId="Tekstpodstawowywcity2">
    <w:name w:val="Body Text Indent 2"/>
    <w:basedOn w:val="Normalny"/>
    <w:link w:val="Tekstpodstawowywcity2Znak"/>
    <w:rsid w:val="005761B6"/>
    <w:pPr>
      <w:spacing w:after="120" w:line="480" w:lineRule="auto"/>
      <w:ind w:left="283"/>
    </w:pPr>
    <w:rPr>
      <w:rFonts w:ascii="Times New Roman" w:eastAsia="Calibri" w:hAnsi="Times New Roman" w:cs="Times New Roman"/>
      <w:sz w:val="24"/>
      <w:szCs w:val="24"/>
      <w:lang w:eastAsia="pl-PL"/>
    </w:rPr>
  </w:style>
  <w:style w:type="character" w:customStyle="1" w:styleId="Tekstpodstawowywcity2Znak">
    <w:name w:val="Tekst podstawowy wcięty 2 Znak"/>
    <w:basedOn w:val="Domylnaczcionkaakapitu"/>
    <w:link w:val="Tekstpodstawowywcity2"/>
    <w:rsid w:val="005761B6"/>
    <w:rPr>
      <w:rFonts w:ascii="Times New Roman" w:eastAsia="Calibri" w:hAnsi="Times New Roman" w:cs="Times New Roman"/>
      <w:sz w:val="24"/>
      <w:szCs w:val="24"/>
      <w:lang w:eastAsia="pl-PL"/>
    </w:rPr>
  </w:style>
  <w:style w:type="paragraph" w:customStyle="1" w:styleId="mprasastyle2">
    <w:name w:val="mprasastyle2"/>
    <w:basedOn w:val="Normalny"/>
    <w:rsid w:val="005761B6"/>
    <w:pPr>
      <w:spacing w:before="100" w:beforeAutospacing="1" w:after="100" w:afterAutospacing="1" w:line="240" w:lineRule="auto"/>
    </w:pPr>
    <w:rPr>
      <w:rFonts w:ascii="Times New Roman" w:eastAsia="Calibri" w:hAnsi="Times New Roman" w:cs="Times New Roman"/>
      <w:sz w:val="24"/>
      <w:szCs w:val="24"/>
      <w:lang w:eastAsia="pl-PL"/>
    </w:rPr>
  </w:style>
  <w:style w:type="paragraph" w:customStyle="1" w:styleId="tresc">
    <w:name w:val="tresc"/>
    <w:basedOn w:val="Normalny"/>
    <w:rsid w:val="005761B6"/>
    <w:pPr>
      <w:spacing w:before="100" w:beforeAutospacing="1" w:after="100" w:afterAutospacing="1" w:line="240" w:lineRule="auto"/>
    </w:pPr>
    <w:rPr>
      <w:rFonts w:ascii="Times New Roman" w:eastAsia="Calibri" w:hAnsi="Times New Roman" w:cs="Times New Roman"/>
      <w:sz w:val="24"/>
      <w:szCs w:val="24"/>
      <w:lang w:eastAsia="pl-PL"/>
    </w:rPr>
  </w:style>
  <w:style w:type="paragraph" w:customStyle="1" w:styleId="tm">
    <w:name w:val="tm"/>
    <w:basedOn w:val="Normalny"/>
    <w:next w:val="Normalny"/>
    <w:rsid w:val="005761B6"/>
    <w:pPr>
      <w:autoSpaceDE w:val="0"/>
      <w:autoSpaceDN w:val="0"/>
      <w:adjustRightInd w:val="0"/>
      <w:spacing w:after="0" w:line="240" w:lineRule="auto"/>
    </w:pPr>
    <w:rPr>
      <w:rFonts w:ascii="Times New Roman" w:eastAsia="Calibri" w:hAnsi="Times New Roman" w:cs="Times New Roman"/>
      <w:sz w:val="24"/>
      <w:szCs w:val="24"/>
      <w:lang w:eastAsia="pl-PL"/>
    </w:rPr>
  </w:style>
  <w:style w:type="paragraph" w:customStyle="1" w:styleId="tl">
    <w:name w:val="tl"/>
    <w:basedOn w:val="Normalny"/>
    <w:next w:val="Normalny"/>
    <w:rsid w:val="005761B6"/>
    <w:pPr>
      <w:autoSpaceDE w:val="0"/>
      <w:autoSpaceDN w:val="0"/>
      <w:adjustRightInd w:val="0"/>
      <w:spacing w:after="0" w:line="240" w:lineRule="auto"/>
    </w:pPr>
    <w:rPr>
      <w:rFonts w:ascii="Times New Roman" w:eastAsia="Calibri" w:hAnsi="Times New Roman" w:cs="Times New Roman"/>
      <w:sz w:val="24"/>
      <w:szCs w:val="24"/>
      <w:lang w:eastAsia="pl-PL"/>
    </w:rPr>
  </w:style>
  <w:style w:type="paragraph" w:customStyle="1" w:styleId="t4">
    <w:name w:val="t4"/>
    <w:basedOn w:val="Default"/>
    <w:next w:val="Default"/>
    <w:rsid w:val="005761B6"/>
    <w:rPr>
      <w:rFonts w:ascii="Times New Roman" w:eastAsia="Calibri" w:hAnsi="Times New Roman" w:cs="Times New Roman"/>
      <w:color w:val="auto"/>
      <w:lang w:eastAsia="pl-PL"/>
    </w:rPr>
  </w:style>
  <w:style w:type="character" w:customStyle="1" w:styleId="HeaderChar">
    <w:name w:val="Header Char"/>
    <w:locked/>
    <w:rsid w:val="005761B6"/>
    <w:rPr>
      <w:rFonts w:ascii="Times New Roman" w:hAnsi="Times New Roman" w:cs="Times New Roman"/>
    </w:rPr>
  </w:style>
  <w:style w:type="character" w:customStyle="1" w:styleId="BalloonTextChar">
    <w:name w:val="Balloon Text Char"/>
    <w:locked/>
    <w:rsid w:val="005761B6"/>
    <w:rPr>
      <w:rFonts w:ascii="Tahoma" w:hAnsi="Tahoma" w:cs="Tahoma"/>
      <w:sz w:val="16"/>
      <w:szCs w:val="16"/>
      <w:lang w:val="x-none" w:eastAsia="pl-PL"/>
    </w:rPr>
  </w:style>
  <w:style w:type="paragraph" w:styleId="Tekstkomentarza">
    <w:name w:val="annotation text"/>
    <w:basedOn w:val="Normalny"/>
    <w:link w:val="TekstkomentarzaZnak"/>
    <w:rsid w:val="005761B6"/>
    <w:pPr>
      <w:spacing w:after="0" w:line="240" w:lineRule="auto"/>
    </w:pPr>
    <w:rPr>
      <w:rFonts w:ascii="Times New Roman" w:eastAsia="Calibri" w:hAnsi="Times New Roman" w:cs="Times New Roman"/>
      <w:sz w:val="20"/>
      <w:szCs w:val="20"/>
      <w:lang w:eastAsia="pl-PL"/>
    </w:rPr>
  </w:style>
  <w:style w:type="character" w:customStyle="1" w:styleId="TekstkomentarzaZnak">
    <w:name w:val="Tekst komentarza Znak"/>
    <w:basedOn w:val="Domylnaczcionkaakapitu"/>
    <w:link w:val="Tekstkomentarza"/>
    <w:rsid w:val="005761B6"/>
    <w:rPr>
      <w:rFonts w:ascii="Times New Roman" w:eastAsia="Calibri" w:hAnsi="Times New Roman" w:cs="Times New Roman"/>
      <w:sz w:val="20"/>
      <w:szCs w:val="20"/>
      <w:lang w:eastAsia="pl-PL"/>
    </w:rPr>
  </w:style>
  <w:style w:type="paragraph" w:styleId="Tematkomentarza">
    <w:name w:val="annotation subject"/>
    <w:basedOn w:val="Tekstkomentarza"/>
    <w:next w:val="Tekstkomentarza"/>
    <w:link w:val="TematkomentarzaZnak"/>
    <w:rsid w:val="005761B6"/>
    <w:rPr>
      <w:b/>
      <w:bCs/>
    </w:rPr>
  </w:style>
  <w:style w:type="character" w:customStyle="1" w:styleId="TematkomentarzaZnak">
    <w:name w:val="Temat komentarza Znak"/>
    <w:basedOn w:val="TekstkomentarzaZnak"/>
    <w:link w:val="Tematkomentarza"/>
    <w:rsid w:val="005761B6"/>
    <w:rPr>
      <w:rFonts w:ascii="Times New Roman" w:eastAsia="Calibri" w:hAnsi="Times New Roman" w:cs="Times New Roman"/>
      <w:b/>
      <w:bCs/>
      <w:sz w:val="20"/>
      <w:szCs w:val="20"/>
      <w:lang w:eastAsia="pl-PL"/>
    </w:rPr>
  </w:style>
  <w:style w:type="paragraph" w:styleId="HTML-wstpniesformatowany">
    <w:name w:val="HTML Preformatted"/>
    <w:basedOn w:val="Normalny"/>
    <w:link w:val="HTML-wstpniesformatowanyZnak"/>
    <w:rsid w:val="00576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5761B6"/>
    <w:rPr>
      <w:rFonts w:ascii="Courier New" w:eastAsia="Calibri" w:hAnsi="Courier New" w:cs="Courier New"/>
      <w:sz w:val="20"/>
      <w:szCs w:val="20"/>
      <w:lang w:eastAsia="pl-PL"/>
    </w:rPr>
  </w:style>
  <w:style w:type="character" w:customStyle="1" w:styleId="Nierozpoznanawzmianka1">
    <w:name w:val="Nierozpoznana wzmianka1"/>
    <w:rsid w:val="005761B6"/>
    <w:rPr>
      <w:rFonts w:cs="Times New Roman"/>
      <w:color w:val="808080"/>
      <w:shd w:val="clear" w:color="auto" w:fill="E6E6E6"/>
    </w:rPr>
  </w:style>
  <w:style w:type="character" w:customStyle="1" w:styleId="st">
    <w:name w:val="st"/>
    <w:rsid w:val="005761B6"/>
    <w:rPr>
      <w:rFonts w:cs="Times New Roman"/>
    </w:rPr>
  </w:style>
  <w:style w:type="paragraph" w:customStyle="1" w:styleId="akapitlewyblock">
    <w:name w:val="akapitlewyblock"/>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i-main">
    <w:name w:val="ti-main"/>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i-chapter">
    <w:name w:val="ti-chapter"/>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old">
    <w:name w:val="bold"/>
    <w:basedOn w:val="Domylnaczcionkaakapitu"/>
    <w:rsid w:val="005761B6"/>
  </w:style>
  <w:style w:type="paragraph" w:customStyle="1" w:styleId="title-doc-first">
    <w:name w:val="title-doc-first"/>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norm">
    <w:name w:val="norm"/>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stitle-article-norm">
    <w:name w:val="stitle-article-norm"/>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itle-doc-last">
    <w:name w:val="title-doc-last"/>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Heading1Char">
    <w:name w:val="Heading 1 Char"/>
    <w:aliases w:val="autor Char"/>
    <w:locked/>
    <w:rsid w:val="005761B6"/>
    <w:rPr>
      <w:rFonts w:eastAsia="Times New Roman" w:cs="Times New Roman"/>
      <w:b/>
      <w:sz w:val="32"/>
      <w:szCs w:val="32"/>
      <w:lang w:val="pl-PL" w:eastAsia="en-US" w:bidi="ar-SA"/>
    </w:rPr>
  </w:style>
  <w:style w:type="paragraph" w:customStyle="1" w:styleId="Nagwekspisutreci1">
    <w:name w:val="Nagłówek spisu treści1"/>
    <w:basedOn w:val="Nagwek1"/>
    <w:next w:val="Normalny"/>
    <w:rsid w:val="005761B6"/>
    <w:pPr>
      <w:tabs>
        <w:tab w:val="num" w:pos="0"/>
      </w:tabs>
      <w:ind w:left="432" w:hanging="432"/>
      <w:outlineLvl w:val="9"/>
    </w:pPr>
    <w:rPr>
      <w:rFonts w:ascii="Calibri Light" w:eastAsia="Times New Roman" w:hAnsi="Calibri Light" w:cs="Times New Roman"/>
      <w:color w:val="2E74B5"/>
      <w:lang w:eastAsia="pl-PL"/>
    </w:rPr>
  </w:style>
  <w:style w:type="character" w:customStyle="1" w:styleId="Nierozpoznanawzmianka2">
    <w:name w:val="Nierozpoznana wzmianka2"/>
    <w:rsid w:val="005761B6"/>
    <w:rPr>
      <w:rFonts w:cs="Times New Roman"/>
      <w:color w:val="808080"/>
      <w:shd w:val="clear" w:color="auto" w:fill="E6E6E6"/>
    </w:rPr>
  </w:style>
  <w:style w:type="paragraph" w:styleId="Podtytu">
    <w:name w:val="Subtitle"/>
    <w:basedOn w:val="Normalny"/>
    <w:next w:val="Normalny"/>
    <w:link w:val="PodtytuZnak"/>
    <w:qFormat/>
    <w:rsid w:val="005761B6"/>
    <w:pPr>
      <w:spacing w:after="60" w:line="240" w:lineRule="auto"/>
      <w:jc w:val="center"/>
      <w:outlineLvl w:val="1"/>
    </w:pPr>
    <w:rPr>
      <w:rFonts w:ascii="Calibri Light" w:eastAsia="Times New Roman" w:hAnsi="Calibri Light" w:cs="Times New Roman"/>
      <w:sz w:val="24"/>
      <w:szCs w:val="24"/>
      <w:lang w:eastAsia="pl-PL"/>
    </w:rPr>
  </w:style>
  <w:style w:type="character" w:customStyle="1" w:styleId="PodtytuZnak">
    <w:name w:val="Podtytuł Znak"/>
    <w:basedOn w:val="Domylnaczcionkaakapitu"/>
    <w:link w:val="Podtytu"/>
    <w:rsid w:val="005761B6"/>
    <w:rPr>
      <w:rFonts w:ascii="Calibri Light" w:eastAsia="Times New Roman" w:hAnsi="Calibri Light" w:cs="Times New Roman"/>
      <w:sz w:val="24"/>
      <w:szCs w:val="24"/>
      <w:lang w:eastAsia="pl-PL"/>
    </w:rPr>
  </w:style>
  <w:style w:type="character" w:customStyle="1" w:styleId="Textodocorpo3">
    <w:name w:val="Texto do corpo (3)_"/>
    <w:link w:val="Textodocorpo31"/>
    <w:rsid w:val="005761B6"/>
    <w:rPr>
      <w:sz w:val="17"/>
      <w:szCs w:val="17"/>
      <w:shd w:val="clear" w:color="auto" w:fill="FFFFFF"/>
    </w:rPr>
  </w:style>
  <w:style w:type="paragraph" w:customStyle="1" w:styleId="Textodocorpo31">
    <w:name w:val="Texto do corpo (3)1"/>
    <w:basedOn w:val="Normalny"/>
    <w:link w:val="Textodocorpo3"/>
    <w:rsid w:val="005761B6"/>
    <w:pPr>
      <w:shd w:val="clear" w:color="auto" w:fill="FFFFFF"/>
      <w:spacing w:before="120" w:after="420" w:line="221" w:lineRule="exact"/>
    </w:pPr>
    <w:rPr>
      <w:sz w:val="17"/>
      <w:szCs w:val="17"/>
    </w:rPr>
  </w:style>
  <w:style w:type="paragraph" w:customStyle="1" w:styleId="ZnakZnakZnakZnakZnakZnakZnakZnakZnak1ZnakZnakZnakZnak">
    <w:name w:val="Znak Znak Znak Znak Znak Znak Znak Znak Znak1 Znak Znak Znak Znak"/>
    <w:basedOn w:val="Normalny"/>
    <w:rsid w:val="005761B6"/>
    <w:pPr>
      <w:spacing w:after="0" w:line="240" w:lineRule="auto"/>
    </w:pPr>
    <w:rPr>
      <w:rFonts w:ascii="Times New Roman" w:eastAsia="Times New Roman" w:hAnsi="Times New Roman" w:cs="Times New Roman"/>
      <w:sz w:val="24"/>
      <w:szCs w:val="24"/>
      <w:lang w:eastAsia="pl-PL"/>
    </w:rPr>
  </w:style>
  <w:style w:type="paragraph" w:styleId="Tekstblokowy">
    <w:name w:val="Block Text"/>
    <w:basedOn w:val="Normalny"/>
    <w:rsid w:val="005761B6"/>
    <w:pPr>
      <w:spacing w:after="0" w:line="360" w:lineRule="atLeast"/>
      <w:ind w:left="567" w:right="-314"/>
    </w:pPr>
    <w:rPr>
      <w:rFonts w:ascii="Bangkok" w:eastAsia="Times New Roman" w:hAnsi="Bangkok" w:cs="Times New Roman"/>
      <w:sz w:val="24"/>
      <w:szCs w:val="20"/>
      <w:lang w:eastAsia="pl-PL"/>
    </w:rPr>
  </w:style>
  <w:style w:type="paragraph" w:styleId="Listapunktowana">
    <w:name w:val="List Bullet"/>
    <w:basedOn w:val="Normalny"/>
    <w:rsid w:val="005761B6"/>
    <w:pPr>
      <w:numPr>
        <w:numId w:val="9"/>
      </w:numPr>
      <w:spacing w:after="0" w:line="360" w:lineRule="auto"/>
      <w:jc w:val="both"/>
    </w:pPr>
    <w:rPr>
      <w:rFonts w:ascii="Arial" w:eastAsia="Times New Roman" w:hAnsi="Arial" w:cs="Times New Roman"/>
      <w:lang w:eastAsia="pl-PL"/>
    </w:rPr>
  </w:style>
  <w:style w:type="character" w:customStyle="1" w:styleId="Notaderodap">
    <w:name w:val="Nota de rodapé_"/>
    <w:link w:val="Notaderodap0"/>
    <w:rsid w:val="005761B6"/>
    <w:rPr>
      <w:rFonts w:ascii="Century Schoolbook" w:hAnsi="Century Schoolbook"/>
      <w:b/>
      <w:bCs/>
      <w:sz w:val="12"/>
      <w:szCs w:val="12"/>
      <w:shd w:val="clear" w:color="auto" w:fill="FFFFFF"/>
    </w:rPr>
  </w:style>
  <w:style w:type="paragraph" w:customStyle="1" w:styleId="Notaderodap0">
    <w:name w:val="Nota de rodapé"/>
    <w:basedOn w:val="Normalny"/>
    <w:link w:val="Notaderodap"/>
    <w:rsid w:val="005761B6"/>
    <w:pPr>
      <w:shd w:val="clear" w:color="auto" w:fill="FFFFFF"/>
      <w:spacing w:after="0" w:line="240" w:lineRule="atLeast"/>
    </w:pPr>
    <w:rPr>
      <w:rFonts w:ascii="Century Schoolbook" w:hAnsi="Century Schoolbook"/>
      <w:b/>
      <w:bCs/>
      <w:sz w:val="12"/>
      <w:szCs w:val="12"/>
    </w:rPr>
  </w:style>
  <w:style w:type="character" w:customStyle="1" w:styleId="Textodocorpo78pt">
    <w:name w:val="Texto do corpo (7) + 8 pt"/>
    <w:rsid w:val="005761B6"/>
    <w:rPr>
      <w:rFonts w:ascii="Century Schoolbook" w:hAnsi="Century Schoolbook" w:cs="Century Schoolbook"/>
      <w:b/>
      <w:bCs/>
      <w:spacing w:val="0"/>
      <w:sz w:val="16"/>
      <w:szCs w:val="16"/>
    </w:rPr>
  </w:style>
  <w:style w:type="character" w:customStyle="1" w:styleId="TextodocorpoCalibri4">
    <w:name w:val="Texto do corpo + Calibri4"/>
    <w:aliases w:val="Sem negrito51"/>
    <w:rsid w:val="005761B6"/>
    <w:rPr>
      <w:rFonts w:ascii="Calibri" w:hAnsi="Calibri" w:cs="Calibri"/>
      <w:b w:val="0"/>
      <w:bCs w:val="0"/>
      <w:spacing w:val="0"/>
      <w:sz w:val="16"/>
      <w:szCs w:val="16"/>
      <w:lang w:bidi="ar-SA"/>
    </w:rPr>
  </w:style>
  <w:style w:type="paragraph" w:customStyle="1" w:styleId="Tekstpodstawowy31">
    <w:name w:val="Tekst podstawowy 31"/>
    <w:basedOn w:val="Normalny"/>
    <w:rsid w:val="005761B6"/>
    <w:pPr>
      <w:tabs>
        <w:tab w:val="left" w:pos="-720"/>
      </w:tabs>
      <w:suppressAutoHyphens/>
      <w:spacing w:after="0" w:line="360" w:lineRule="auto"/>
      <w:jc w:val="both"/>
    </w:pPr>
    <w:rPr>
      <w:rFonts w:ascii="Times New Roman" w:eastAsia="Times New Roman" w:hAnsi="Times New Roman" w:cs="Times New Roman"/>
      <w:i/>
      <w:spacing w:val="-3"/>
      <w:sz w:val="24"/>
      <w:szCs w:val="20"/>
      <w:lang w:eastAsia="pl-PL"/>
    </w:rPr>
  </w:style>
  <w:style w:type="paragraph" w:styleId="Tekstpodstawowy3">
    <w:name w:val="Body Text 3"/>
    <w:basedOn w:val="Normalny"/>
    <w:link w:val="Tekstpodstawowy3Znak"/>
    <w:rsid w:val="005761B6"/>
    <w:pPr>
      <w:spacing w:after="120" w:line="240" w:lineRule="auto"/>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rsid w:val="005761B6"/>
    <w:rPr>
      <w:rFonts w:ascii="Times New Roman" w:eastAsia="Times New Roman" w:hAnsi="Times New Roman" w:cs="Times New Roman"/>
      <w:sz w:val="16"/>
      <w:szCs w:val="16"/>
      <w:lang w:eastAsia="pl-PL"/>
    </w:rPr>
  </w:style>
  <w:style w:type="paragraph" w:customStyle="1" w:styleId="BodyText21">
    <w:name w:val="Body Text 21"/>
    <w:basedOn w:val="Normalny"/>
    <w:rsid w:val="005761B6"/>
    <w:pPr>
      <w:widowControl w:val="0"/>
      <w:tabs>
        <w:tab w:val="left" w:pos="-720"/>
      </w:tabs>
      <w:suppressAutoHyphens/>
      <w:spacing w:after="0" w:line="360" w:lineRule="auto"/>
      <w:jc w:val="both"/>
    </w:pPr>
    <w:rPr>
      <w:rFonts w:ascii="Times New Roman" w:eastAsia="Times New Roman" w:hAnsi="Times New Roman" w:cs="Times New Roman"/>
      <w:sz w:val="24"/>
      <w:szCs w:val="20"/>
      <w:lang w:eastAsia="pl-PL"/>
    </w:rPr>
  </w:style>
  <w:style w:type="paragraph" w:styleId="Tekstpodstawowywcity3">
    <w:name w:val="Body Text Indent 3"/>
    <w:basedOn w:val="Normalny"/>
    <w:link w:val="Tekstpodstawowywcity3Znak"/>
    <w:rsid w:val="005761B6"/>
    <w:pPr>
      <w:suppressAutoHyphens/>
      <w:spacing w:after="0" w:line="360" w:lineRule="auto"/>
      <w:ind w:firstLine="353"/>
      <w:jc w:val="both"/>
    </w:pPr>
    <w:rPr>
      <w:rFonts w:ascii="Times New Roman" w:eastAsia="Times New Roman" w:hAnsi="Times New Roman" w:cs="Times New Roman"/>
      <w:sz w:val="24"/>
      <w:szCs w:val="20"/>
      <w:lang w:eastAsia="pl-PL"/>
    </w:rPr>
  </w:style>
  <w:style w:type="character" w:customStyle="1" w:styleId="Tekstpodstawowywcity3Znak">
    <w:name w:val="Tekst podstawowy wcięty 3 Znak"/>
    <w:basedOn w:val="Domylnaczcionkaakapitu"/>
    <w:link w:val="Tekstpodstawowywcity3"/>
    <w:rsid w:val="005761B6"/>
    <w:rPr>
      <w:rFonts w:ascii="Times New Roman" w:eastAsia="Times New Roman" w:hAnsi="Times New Roman" w:cs="Times New Roman"/>
      <w:sz w:val="24"/>
      <w:szCs w:val="20"/>
      <w:lang w:eastAsia="pl-PL"/>
    </w:rPr>
  </w:style>
  <w:style w:type="paragraph" w:customStyle="1" w:styleId="H4">
    <w:name w:val="H4"/>
    <w:basedOn w:val="Normalny"/>
    <w:next w:val="Normalny"/>
    <w:rsid w:val="005761B6"/>
    <w:pPr>
      <w:keepNext/>
      <w:spacing w:before="100" w:after="100" w:line="240" w:lineRule="auto"/>
    </w:pPr>
    <w:rPr>
      <w:rFonts w:ascii="Times New Roman" w:eastAsia="Times New Roman" w:hAnsi="Times New Roman" w:cs="Times New Roman"/>
      <w:b/>
      <w:sz w:val="24"/>
      <w:szCs w:val="20"/>
      <w:lang w:eastAsia="pl-PL"/>
    </w:rPr>
  </w:style>
  <w:style w:type="paragraph" w:customStyle="1" w:styleId="Style1">
    <w:name w:val="Style1"/>
    <w:basedOn w:val="Normalny"/>
    <w:rsid w:val="005761B6"/>
    <w:pPr>
      <w:spacing w:before="120" w:after="0" w:line="360" w:lineRule="auto"/>
      <w:ind w:left="426" w:hanging="426"/>
      <w:jc w:val="both"/>
    </w:pPr>
    <w:rPr>
      <w:rFonts w:ascii="Times New Roman" w:eastAsia="Times New Roman" w:hAnsi="Times New Roman" w:cs="Times New Roman"/>
      <w:sz w:val="24"/>
      <w:szCs w:val="20"/>
      <w:lang w:eastAsia="pl-PL"/>
    </w:rPr>
  </w:style>
  <w:style w:type="paragraph" w:customStyle="1" w:styleId="Style2">
    <w:name w:val="Style2"/>
    <w:basedOn w:val="Style1"/>
    <w:rsid w:val="005761B6"/>
    <w:pPr>
      <w:ind w:left="851" w:hanging="425"/>
    </w:pPr>
  </w:style>
  <w:style w:type="paragraph" w:customStyle="1" w:styleId="Style3">
    <w:name w:val="Style3"/>
    <w:basedOn w:val="Style2"/>
    <w:rsid w:val="005761B6"/>
    <w:pPr>
      <w:ind w:left="1418" w:hanging="567"/>
    </w:pPr>
  </w:style>
  <w:style w:type="paragraph" w:customStyle="1" w:styleId="Tekstpodstawowywcity21">
    <w:name w:val="Tekst podstawowy wcięty 21"/>
    <w:basedOn w:val="Normalny"/>
    <w:rsid w:val="005761B6"/>
    <w:pPr>
      <w:widowControl w:val="0"/>
      <w:spacing w:after="0" w:line="360" w:lineRule="auto"/>
      <w:ind w:firstLine="283"/>
      <w:jc w:val="both"/>
    </w:pPr>
    <w:rPr>
      <w:rFonts w:ascii="Times New Roman" w:eastAsia="Times New Roman" w:hAnsi="Times New Roman" w:cs="Times New Roman"/>
      <w:sz w:val="24"/>
      <w:szCs w:val="20"/>
      <w:lang w:eastAsia="pl-PL"/>
    </w:rPr>
  </w:style>
  <w:style w:type="paragraph" w:customStyle="1" w:styleId="BodyText22">
    <w:name w:val="Body Text 22"/>
    <w:basedOn w:val="Normalny"/>
    <w:rsid w:val="005761B6"/>
    <w:pPr>
      <w:widowControl w:val="0"/>
      <w:spacing w:before="120" w:after="0" w:line="360" w:lineRule="auto"/>
      <w:ind w:firstLine="709"/>
      <w:jc w:val="both"/>
    </w:pPr>
    <w:rPr>
      <w:rFonts w:ascii="Times New Roman" w:eastAsia="Times New Roman" w:hAnsi="Times New Roman" w:cs="Times New Roman"/>
      <w:sz w:val="24"/>
      <w:szCs w:val="20"/>
      <w:lang w:eastAsia="pl-PL"/>
    </w:rPr>
  </w:style>
  <w:style w:type="paragraph" w:customStyle="1" w:styleId="BodyTextIndent21">
    <w:name w:val="Body Text Indent 21"/>
    <w:basedOn w:val="Normalny"/>
    <w:rsid w:val="005761B6"/>
    <w:pPr>
      <w:widowControl w:val="0"/>
      <w:spacing w:after="0" w:line="360" w:lineRule="auto"/>
      <w:ind w:firstLine="283"/>
      <w:jc w:val="both"/>
    </w:pPr>
    <w:rPr>
      <w:rFonts w:ascii="Times New Roman" w:eastAsia="Times New Roman" w:hAnsi="Times New Roman" w:cs="Times New Roman"/>
      <w:sz w:val="24"/>
      <w:szCs w:val="20"/>
      <w:lang w:eastAsia="pl-PL"/>
    </w:rPr>
  </w:style>
  <w:style w:type="character" w:customStyle="1" w:styleId="Notaderodap6">
    <w:name w:val="Nota de rodapé (6)_"/>
    <w:link w:val="Notaderodap60"/>
    <w:rsid w:val="005761B6"/>
    <w:rPr>
      <w:rFonts w:ascii="Bookman Old Style" w:hAnsi="Bookman Old Style"/>
      <w:b/>
      <w:bCs/>
      <w:sz w:val="16"/>
      <w:szCs w:val="16"/>
      <w:shd w:val="clear" w:color="auto" w:fill="FFFFFF"/>
    </w:rPr>
  </w:style>
  <w:style w:type="paragraph" w:customStyle="1" w:styleId="Notaderodap60">
    <w:name w:val="Nota de rodapé (6)"/>
    <w:basedOn w:val="Normalny"/>
    <w:link w:val="Notaderodap6"/>
    <w:rsid w:val="005761B6"/>
    <w:pPr>
      <w:shd w:val="clear" w:color="auto" w:fill="FFFFFF"/>
      <w:spacing w:after="0" w:line="240" w:lineRule="atLeast"/>
    </w:pPr>
    <w:rPr>
      <w:rFonts w:ascii="Bookman Old Style" w:hAnsi="Bookman Old Style"/>
      <w:b/>
      <w:bCs/>
      <w:sz w:val="16"/>
      <w:szCs w:val="16"/>
    </w:rPr>
  </w:style>
  <w:style w:type="character" w:customStyle="1" w:styleId="Textodocorpo13">
    <w:name w:val="Texto do corpo13"/>
    <w:rsid w:val="005761B6"/>
    <w:rPr>
      <w:rFonts w:ascii="Bookman Old Style" w:hAnsi="Bookman Old Style" w:cs="Bookman Old Style"/>
      <w:b/>
      <w:bCs/>
      <w:spacing w:val="0"/>
      <w:w w:val="100"/>
      <w:sz w:val="15"/>
      <w:szCs w:val="15"/>
      <w:u w:val="single"/>
      <w:lang w:bidi="ar-SA"/>
    </w:rPr>
  </w:style>
  <w:style w:type="character" w:customStyle="1" w:styleId="Textodocorpo12">
    <w:name w:val="Texto do corpo12"/>
    <w:rsid w:val="005761B6"/>
    <w:rPr>
      <w:rFonts w:ascii="Bookman Old Style" w:hAnsi="Bookman Old Style" w:cs="Bookman Old Style"/>
      <w:b/>
      <w:bCs/>
      <w:spacing w:val="0"/>
      <w:w w:val="100"/>
      <w:sz w:val="15"/>
      <w:szCs w:val="15"/>
      <w:u w:val="single"/>
      <w:lang w:bidi="ar-SA"/>
    </w:rPr>
  </w:style>
  <w:style w:type="character" w:customStyle="1" w:styleId="Teksttreci">
    <w:name w:val="Tekst treści_"/>
    <w:link w:val="Teksttreci1"/>
    <w:uiPriority w:val="99"/>
    <w:rsid w:val="005761B6"/>
    <w:rPr>
      <w:rFonts w:ascii="Arial Unicode MS" w:eastAsia="Arial Unicode MS"/>
      <w:sz w:val="24"/>
      <w:szCs w:val="24"/>
      <w:shd w:val="clear" w:color="auto" w:fill="FFFFFF"/>
    </w:rPr>
  </w:style>
  <w:style w:type="paragraph" w:customStyle="1" w:styleId="Teksttreci1">
    <w:name w:val="Tekst treści1"/>
    <w:basedOn w:val="Normalny"/>
    <w:link w:val="Teksttreci"/>
    <w:uiPriority w:val="99"/>
    <w:rsid w:val="005761B6"/>
    <w:pPr>
      <w:shd w:val="clear" w:color="auto" w:fill="FFFFFF"/>
      <w:spacing w:before="120" w:after="0" w:line="739" w:lineRule="exact"/>
      <w:ind w:hanging="640"/>
      <w:jc w:val="right"/>
    </w:pPr>
    <w:rPr>
      <w:rFonts w:ascii="Arial Unicode MS" w:eastAsia="Arial Unicode MS"/>
      <w:sz w:val="24"/>
      <w:szCs w:val="24"/>
    </w:rPr>
  </w:style>
  <w:style w:type="character" w:customStyle="1" w:styleId="TeksttreciPogrubienie50">
    <w:name w:val="Tekst treści + Pogrubienie50"/>
    <w:rsid w:val="005761B6"/>
    <w:rPr>
      <w:rFonts w:ascii="Arial Unicode MS" w:eastAsia="Arial Unicode MS"/>
      <w:b/>
      <w:bCs/>
      <w:sz w:val="24"/>
      <w:szCs w:val="24"/>
      <w:lang w:bidi="ar-SA"/>
    </w:rPr>
  </w:style>
  <w:style w:type="character" w:customStyle="1" w:styleId="TeksttreciPogrubienie46">
    <w:name w:val="Tekst treści + Pogrubienie46"/>
    <w:rsid w:val="005761B6"/>
    <w:rPr>
      <w:rFonts w:ascii="Arial Unicode MS" w:eastAsia="Arial Unicode MS" w:cs="Arial Unicode MS"/>
      <w:b/>
      <w:bCs/>
      <w:spacing w:val="0"/>
      <w:sz w:val="24"/>
      <w:szCs w:val="24"/>
      <w:lang w:bidi="ar-SA"/>
    </w:rPr>
  </w:style>
  <w:style w:type="character" w:customStyle="1" w:styleId="TeksttreciPogrubienie41">
    <w:name w:val="Tekst treści + Pogrubienie41"/>
    <w:rsid w:val="005761B6"/>
    <w:rPr>
      <w:rFonts w:ascii="Arial Unicode MS" w:eastAsia="Arial Unicode MS" w:cs="Arial Unicode MS"/>
      <w:b/>
      <w:bCs/>
      <w:spacing w:val="0"/>
      <w:sz w:val="24"/>
      <w:szCs w:val="24"/>
      <w:lang w:bidi="ar-SA"/>
    </w:rPr>
  </w:style>
  <w:style w:type="character" w:customStyle="1" w:styleId="Teksttreci13pt3">
    <w:name w:val="Tekst treści + 13 pt3"/>
    <w:rsid w:val="005761B6"/>
    <w:rPr>
      <w:rFonts w:ascii="Arial Unicode MS" w:eastAsia="Arial Unicode MS" w:cs="Arial Unicode MS"/>
      <w:spacing w:val="0"/>
      <w:sz w:val="26"/>
      <w:szCs w:val="26"/>
      <w:lang w:bidi="ar-SA"/>
    </w:rPr>
  </w:style>
  <w:style w:type="character" w:customStyle="1" w:styleId="TeksttreciPogrubienie36">
    <w:name w:val="Tekst treści + Pogrubienie36"/>
    <w:rsid w:val="005761B6"/>
    <w:rPr>
      <w:rFonts w:ascii="Arial Unicode MS" w:eastAsia="Arial Unicode MS" w:cs="Arial Unicode MS"/>
      <w:b/>
      <w:bCs/>
      <w:spacing w:val="0"/>
      <w:sz w:val="24"/>
      <w:szCs w:val="24"/>
      <w:lang w:bidi="ar-SA"/>
    </w:rPr>
  </w:style>
  <w:style w:type="character" w:customStyle="1" w:styleId="Teksttreci38">
    <w:name w:val="Tekst treści (38)_"/>
    <w:link w:val="Teksttreci380"/>
    <w:rsid w:val="005761B6"/>
    <w:rPr>
      <w:rFonts w:ascii="Arial Unicode MS" w:eastAsia="Arial Unicode MS"/>
      <w:b/>
      <w:bCs/>
      <w:sz w:val="24"/>
      <w:szCs w:val="24"/>
      <w:shd w:val="clear" w:color="auto" w:fill="FFFFFF"/>
    </w:rPr>
  </w:style>
  <w:style w:type="paragraph" w:customStyle="1" w:styleId="Teksttreci380">
    <w:name w:val="Tekst treści (38)"/>
    <w:basedOn w:val="Normalny"/>
    <w:link w:val="Teksttreci38"/>
    <w:rsid w:val="005761B6"/>
    <w:pPr>
      <w:shd w:val="clear" w:color="auto" w:fill="FFFFFF"/>
      <w:spacing w:after="0" w:line="335" w:lineRule="exact"/>
      <w:jc w:val="both"/>
    </w:pPr>
    <w:rPr>
      <w:rFonts w:ascii="Arial Unicode MS" w:eastAsia="Arial Unicode MS"/>
      <w:b/>
      <w:bCs/>
      <w:sz w:val="24"/>
      <w:szCs w:val="24"/>
    </w:rPr>
  </w:style>
  <w:style w:type="character" w:customStyle="1" w:styleId="Teksttreci38Bezpogrubienia">
    <w:name w:val="Tekst treści (38) + Bez pogrubienia"/>
    <w:basedOn w:val="Teksttreci38"/>
    <w:rsid w:val="005761B6"/>
    <w:rPr>
      <w:rFonts w:ascii="Arial Unicode MS" w:eastAsia="Arial Unicode MS"/>
      <w:b/>
      <w:bCs/>
      <w:sz w:val="24"/>
      <w:szCs w:val="24"/>
      <w:shd w:val="clear" w:color="auto" w:fill="FFFFFF"/>
    </w:rPr>
  </w:style>
  <w:style w:type="character" w:customStyle="1" w:styleId="hps">
    <w:name w:val="hps"/>
    <w:basedOn w:val="Domylnaczcionkaakapitu"/>
    <w:rsid w:val="005761B6"/>
  </w:style>
  <w:style w:type="paragraph" w:customStyle="1" w:styleId="Teksttreci0">
    <w:name w:val="Tekst treści"/>
    <w:basedOn w:val="Normalny"/>
    <w:rsid w:val="005761B6"/>
    <w:pPr>
      <w:shd w:val="clear" w:color="auto" w:fill="FFFFFF"/>
      <w:spacing w:before="1380" w:after="0" w:line="254" w:lineRule="exact"/>
      <w:jc w:val="both"/>
    </w:pPr>
    <w:rPr>
      <w:rFonts w:ascii="Calibri" w:eastAsia="Times New Roman" w:hAnsi="Calibri" w:cs="Calibri"/>
      <w:noProof/>
      <w:sz w:val="19"/>
      <w:szCs w:val="19"/>
      <w:lang w:eastAsia="pl-PL"/>
    </w:rPr>
  </w:style>
  <w:style w:type="character" w:customStyle="1" w:styleId="Nagwek10">
    <w:name w:val="Nagłówek #1_"/>
    <w:link w:val="Nagwek11"/>
    <w:locked/>
    <w:rsid w:val="005761B6"/>
    <w:rPr>
      <w:sz w:val="50"/>
      <w:szCs w:val="50"/>
      <w:shd w:val="clear" w:color="auto" w:fill="FFFFFF"/>
    </w:rPr>
  </w:style>
  <w:style w:type="paragraph" w:customStyle="1" w:styleId="Nagwek11">
    <w:name w:val="Nagłówek #1"/>
    <w:basedOn w:val="Normalny"/>
    <w:link w:val="Nagwek10"/>
    <w:rsid w:val="005761B6"/>
    <w:pPr>
      <w:shd w:val="clear" w:color="auto" w:fill="FFFFFF"/>
      <w:spacing w:before="420" w:after="180" w:line="600" w:lineRule="exact"/>
      <w:outlineLvl w:val="0"/>
    </w:pPr>
    <w:rPr>
      <w:sz w:val="50"/>
      <w:szCs w:val="50"/>
    </w:rPr>
  </w:style>
  <w:style w:type="character" w:customStyle="1" w:styleId="Nagwek20">
    <w:name w:val="Nagłówek #2_"/>
    <w:link w:val="Nagwek21"/>
    <w:locked/>
    <w:rsid w:val="005761B6"/>
    <w:rPr>
      <w:sz w:val="40"/>
      <w:szCs w:val="40"/>
      <w:shd w:val="clear" w:color="auto" w:fill="FFFFFF"/>
    </w:rPr>
  </w:style>
  <w:style w:type="paragraph" w:customStyle="1" w:styleId="Nagwek21">
    <w:name w:val="Nagłówek #2"/>
    <w:basedOn w:val="Normalny"/>
    <w:link w:val="Nagwek20"/>
    <w:rsid w:val="005761B6"/>
    <w:pPr>
      <w:shd w:val="clear" w:color="auto" w:fill="FFFFFF"/>
      <w:spacing w:before="180" w:after="0" w:line="518" w:lineRule="exact"/>
      <w:outlineLvl w:val="1"/>
    </w:pPr>
    <w:rPr>
      <w:sz w:val="40"/>
      <w:szCs w:val="40"/>
    </w:rPr>
  </w:style>
  <w:style w:type="character" w:customStyle="1" w:styleId="FootnoteTextChar1">
    <w:name w:val="Footnote Text Char1"/>
    <w:aliases w:val="Podrozdział Char1,Tekst przypisu1 Char1,Tekst przypisu2 Char1,Tekst przypisu3 Char1,Przypis dolny Char1,Footnote Char1,Podrozdzia3 Char1"/>
    <w:locked/>
    <w:rsid w:val="005761B6"/>
    <w:rPr>
      <w:rFonts w:ascii="Microsoft Sans Serif" w:hAnsi="Microsoft Sans Serif" w:cs="Microsoft Sans Serif"/>
      <w:color w:val="000000"/>
      <w:lang w:val="pl-PL" w:eastAsia="pl-PL"/>
    </w:rPr>
  </w:style>
  <w:style w:type="character" w:customStyle="1" w:styleId="Teksttreci81">
    <w:name w:val="Tekst treści + 81"/>
    <w:aliases w:val="5 pt3"/>
    <w:rsid w:val="005761B6"/>
    <w:rPr>
      <w:rFonts w:ascii="Times New Roman" w:eastAsia="Arial Unicode MS" w:hAnsi="Times New Roman" w:cs="Times New Roman"/>
      <w:spacing w:val="0"/>
      <w:sz w:val="17"/>
      <w:szCs w:val="17"/>
      <w:lang w:bidi="ar-SA"/>
    </w:rPr>
  </w:style>
  <w:style w:type="paragraph" w:customStyle="1" w:styleId="DS">
    <w:name w:val="DS"/>
    <w:basedOn w:val="Normalny"/>
    <w:rsid w:val="005761B6"/>
    <w:pPr>
      <w:spacing w:after="120" w:line="240" w:lineRule="auto"/>
      <w:jc w:val="both"/>
    </w:pPr>
    <w:rPr>
      <w:rFonts w:ascii="Calibri" w:eastAsia="Times New Roman" w:hAnsi="Calibri" w:cs="Calibri"/>
      <w:sz w:val="24"/>
      <w:szCs w:val="24"/>
      <w:lang w:eastAsia="pl-PL"/>
    </w:rPr>
  </w:style>
  <w:style w:type="paragraph" w:customStyle="1" w:styleId="align-justify">
    <w:name w:val="align-justify"/>
    <w:basedOn w:val="Normalny"/>
    <w:rsid w:val="005761B6"/>
    <w:pPr>
      <w:spacing w:before="100" w:beforeAutospacing="1" w:after="100" w:afterAutospacing="1" w:line="240" w:lineRule="auto"/>
    </w:pPr>
    <w:rPr>
      <w:rFonts w:ascii="Calibri" w:eastAsia="Times New Roman" w:hAnsi="Calibri" w:cs="Calibri"/>
      <w:sz w:val="24"/>
      <w:szCs w:val="24"/>
      <w:lang w:eastAsia="pl-PL"/>
    </w:rPr>
  </w:style>
  <w:style w:type="character" w:customStyle="1" w:styleId="xsptextcomputedfield">
    <w:name w:val="xsptextcomputedfield"/>
    <w:rsid w:val="005761B6"/>
    <w:rPr>
      <w:rFonts w:cs="Times New Roman"/>
    </w:rPr>
  </w:style>
  <w:style w:type="paragraph" w:customStyle="1" w:styleId="ListParagraph1">
    <w:name w:val="List Paragraph1"/>
    <w:basedOn w:val="Normalny"/>
    <w:rsid w:val="005761B6"/>
    <w:pPr>
      <w:spacing w:after="0" w:line="240" w:lineRule="auto"/>
      <w:ind w:left="720"/>
      <w:contextualSpacing/>
    </w:pPr>
    <w:rPr>
      <w:rFonts w:ascii="Times New Roman" w:eastAsia="Times New Roman" w:hAnsi="Times New Roman" w:cs="Times New Roman"/>
      <w:sz w:val="20"/>
      <w:szCs w:val="20"/>
      <w:lang w:eastAsia="pl-PL"/>
    </w:rPr>
  </w:style>
  <w:style w:type="character" w:customStyle="1" w:styleId="highlightselected">
    <w:name w:val="highlight selected"/>
    <w:rsid w:val="005761B6"/>
    <w:rPr>
      <w:rFonts w:cs="Times New Roman"/>
    </w:rPr>
  </w:style>
  <w:style w:type="character" w:customStyle="1" w:styleId="highlightbeginselected">
    <w:name w:val="highlight begin selected"/>
    <w:rsid w:val="005761B6"/>
    <w:rPr>
      <w:rFonts w:cs="Times New Roman"/>
    </w:rPr>
  </w:style>
  <w:style w:type="character" w:customStyle="1" w:styleId="highlightendselected">
    <w:name w:val="highlight end selected"/>
    <w:rsid w:val="005761B6"/>
    <w:rPr>
      <w:rFonts w:cs="Times New Roman"/>
    </w:rPr>
  </w:style>
  <w:style w:type="paragraph" w:customStyle="1" w:styleId="tekstprzypisudolnego2">
    <w:name w:val="tekst przypisu dolnego 2"/>
    <w:basedOn w:val="Tekstprzypisudolnego"/>
    <w:rsid w:val="005761B6"/>
    <w:pPr>
      <w:jc w:val="both"/>
    </w:pPr>
    <w:rPr>
      <w:rFonts w:ascii="Times New Roman" w:eastAsia="Times New Roman" w:hAnsi="Times New Roman" w:cs="Times New Roman"/>
    </w:rPr>
  </w:style>
  <w:style w:type="character" w:customStyle="1" w:styleId="BodyTextIndentChar">
    <w:name w:val="Body Text Indent Char"/>
    <w:locked/>
    <w:rsid w:val="005761B6"/>
    <w:rPr>
      <w:rFonts w:ascii="Times New Roman" w:hAnsi="Times New Roman" w:cs="Times New Roman"/>
      <w:sz w:val="24"/>
      <w:szCs w:val="24"/>
      <w:lang w:val="x-none" w:eastAsia="pl-PL"/>
    </w:rPr>
  </w:style>
  <w:style w:type="character" w:customStyle="1" w:styleId="Odwoanieprzypisudolnego1">
    <w:name w:val="Odwołanie przypisu dolnego1"/>
    <w:rsid w:val="005761B6"/>
    <w:rPr>
      <w:vertAlign w:val="superscript"/>
    </w:rPr>
  </w:style>
  <w:style w:type="character" w:customStyle="1" w:styleId="FootnoteCharacters">
    <w:name w:val="Footnote Characters"/>
    <w:rsid w:val="005761B6"/>
  </w:style>
  <w:style w:type="character" w:customStyle="1" w:styleId="Notaderodap5">
    <w:name w:val="Nota de rodapé (5)_"/>
    <w:link w:val="Notaderodap50"/>
    <w:locked/>
    <w:rsid w:val="005761B6"/>
    <w:rPr>
      <w:sz w:val="14"/>
      <w:szCs w:val="14"/>
      <w:shd w:val="clear" w:color="auto" w:fill="FFFFFF"/>
    </w:rPr>
  </w:style>
  <w:style w:type="paragraph" w:customStyle="1" w:styleId="Notaderodap50">
    <w:name w:val="Nota de rodapé (5)"/>
    <w:basedOn w:val="Normalny"/>
    <w:link w:val="Notaderodap5"/>
    <w:rsid w:val="005761B6"/>
    <w:pPr>
      <w:shd w:val="clear" w:color="auto" w:fill="FFFFFF"/>
      <w:spacing w:after="0" w:line="168" w:lineRule="exact"/>
      <w:jc w:val="both"/>
    </w:pPr>
    <w:rPr>
      <w:sz w:val="14"/>
      <w:szCs w:val="14"/>
    </w:rPr>
  </w:style>
  <w:style w:type="character" w:customStyle="1" w:styleId="Textodocorpo410pt">
    <w:name w:val="Texto do corpo (4) + 10 pt"/>
    <w:aliases w:val="Itálico3"/>
    <w:rsid w:val="005761B6"/>
    <w:rPr>
      <w:rFonts w:ascii="Times New Roman" w:hAnsi="Times New Roman" w:cs="Times New Roman"/>
      <w:i/>
      <w:iCs/>
      <w:spacing w:val="0"/>
      <w:sz w:val="20"/>
      <w:szCs w:val="20"/>
    </w:rPr>
  </w:style>
  <w:style w:type="character" w:customStyle="1" w:styleId="fs4ws3dv2">
    <w:name w:val="fs4 ws3d v2"/>
    <w:basedOn w:val="Domylnaczcionkaakapitu"/>
    <w:rsid w:val="005761B6"/>
  </w:style>
  <w:style w:type="character" w:customStyle="1" w:styleId="ff7">
    <w:name w:val="ff7"/>
    <w:basedOn w:val="Domylnaczcionkaakapitu"/>
    <w:rsid w:val="005761B6"/>
  </w:style>
  <w:style w:type="paragraph" w:customStyle="1" w:styleId="ZwyczajnyBezAkapitu">
    <w:name w:val="ZwyczajnyBezAkapitu"/>
    <w:basedOn w:val="Normalny"/>
    <w:next w:val="Normalny"/>
    <w:rsid w:val="005761B6"/>
    <w:pPr>
      <w:spacing w:after="0" w:line="360" w:lineRule="atLeast"/>
      <w:jc w:val="both"/>
    </w:pPr>
    <w:rPr>
      <w:rFonts w:ascii="Times New Roman" w:eastAsia="Times New Roman" w:hAnsi="Times New Roman" w:cs="Times New Roman"/>
      <w:spacing w:val="-6"/>
      <w:kern w:val="24"/>
      <w:sz w:val="24"/>
      <w:szCs w:val="20"/>
      <w:lang w:eastAsia="pl-PL"/>
    </w:rPr>
  </w:style>
  <w:style w:type="character" w:customStyle="1" w:styleId="NotaderodapItlico3">
    <w:name w:val="Nota de rodapé + Itálico3"/>
    <w:rsid w:val="005761B6"/>
    <w:rPr>
      <w:rFonts w:ascii="Book Antiqua" w:hAnsi="Book Antiqua" w:cs="Book Antiqua"/>
      <w:b/>
      <w:bCs/>
      <w:i/>
      <w:iCs/>
      <w:spacing w:val="0"/>
      <w:sz w:val="15"/>
      <w:szCs w:val="15"/>
      <w:lang w:bidi="ar-SA"/>
    </w:rPr>
  </w:style>
  <w:style w:type="character" w:customStyle="1" w:styleId="Stopka2">
    <w:name w:val="Stopka (2)_"/>
    <w:link w:val="Stopka20"/>
    <w:uiPriority w:val="99"/>
    <w:rsid w:val="005761B6"/>
    <w:rPr>
      <w:sz w:val="19"/>
      <w:szCs w:val="19"/>
      <w:shd w:val="clear" w:color="auto" w:fill="FFFFFF"/>
    </w:rPr>
  </w:style>
  <w:style w:type="paragraph" w:customStyle="1" w:styleId="Stopka20">
    <w:name w:val="Stopka (2)"/>
    <w:basedOn w:val="Normalny"/>
    <w:link w:val="Stopka2"/>
    <w:uiPriority w:val="99"/>
    <w:rsid w:val="005761B6"/>
    <w:pPr>
      <w:shd w:val="clear" w:color="auto" w:fill="FFFFFF"/>
      <w:spacing w:after="0" w:line="230" w:lineRule="exact"/>
      <w:ind w:hanging="220"/>
    </w:pPr>
    <w:rPr>
      <w:sz w:val="19"/>
      <w:szCs w:val="19"/>
    </w:rPr>
  </w:style>
  <w:style w:type="character" w:customStyle="1" w:styleId="StopkaBezkursywy10">
    <w:name w:val="Stopka + Bez kursywy10"/>
    <w:rsid w:val="005761B6"/>
    <w:rPr>
      <w:rFonts w:ascii="Times New Roman" w:hAnsi="Times New Roman" w:cs="Times New Roman"/>
      <w:spacing w:val="0"/>
      <w:sz w:val="19"/>
      <w:szCs w:val="19"/>
      <w:lang w:val="pl-PL" w:eastAsia="pl-PL" w:bidi="ar-SA"/>
    </w:rPr>
  </w:style>
  <w:style w:type="character" w:customStyle="1" w:styleId="Stopka2Kursywa">
    <w:name w:val="Stopka (2) + Kursywa"/>
    <w:uiPriority w:val="99"/>
    <w:rsid w:val="005761B6"/>
    <w:rPr>
      <w:rFonts w:ascii="Times New Roman" w:hAnsi="Times New Roman" w:cs="Times New Roman"/>
      <w:i/>
      <w:iCs/>
      <w:spacing w:val="0"/>
      <w:sz w:val="19"/>
      <w:szCs w:val="19"/>
      <w:lang w:bidi="ar-SA"/>
    </w:rPr>
  </w:style>
  <w:style w:type="character" w:customStyle="1" w:styleId="Textodocorpo5">
    <w:name w:val="Texto do corpo (5)_"/>
    <w:link w:val="Textodocorpo50"/>
    <w:rsid w:val="005761B6"/>
    <w:rPr>
      <w:b/>
      <w:bCs/>
      <w:sz w:val="21"/>
      <w:szCs w:val="21"/>
      <w:shd w:val="clear" w:color="auto" w:fill="FFFFFF"/>
    </w:rPr>
  </w:style>
  <w:style w:type="paragraph" w:customStyle="1" w:styleId="Textodocorpo50">
    <w:name w:val="Texto do corpo (5)"/>
    <w:basedOn w:val="Normalny"/>
    <w:link w:val="Textodocorpo5"/>
    <w:rsid w:val="005761B6"/>
    <w:pPr>
      <w:shd w:val="clear" w:color="auto" w:fill="FFFFFF"/>
      <w:spacing w:before="1020" w:after="60" w:line="240" w:lineRule="atLeast"/>
      <w:ind w:hanging="220"/>
    </w:pPr>
    <w:rPr>
      <w:b/>
      <w:bCs/>
      <w:sz w:val="21"/>
      <w:szCs w:val="21"/>
    </w:rPr>
  </w:style>
  <w:style w:type="character" w:customStyle="1" w:styleId="TextodocorpoItlico13">
    <w:name w:val="Texto do corpo + Itálico13"/>
    <w:rsid w:val="005761B6"/>
    <w:rPr>
      <w:rFonts w:ascii="Times New Roman" w:hAnsi="Times New Roman" w:cs="Times New Roman"/>
      <w:i/>
      <w:iCs/>
      <w:spacing w:val="0"/>
      <w:sz w:val="21"/>
      <w:szCs w:val="21"/>
      <w:lang w:bidi="ar-SA"/>
    </w:rPr>
  </w:style>
  <w:style w:type="character" w:customStyle="1" w:styleId="fontstyle0">
    <w:name w:val="fontstyle0"/>
    <w:basedOn w:val="Domylnaczcionkaakapitu"/>
    <w:rsid w:val="005761B6"/>
  </w:style>
  <w:style w:type="character" w:customStyle="1" w:styleId="Textodocorpo9">
    <w:name w:val="Texto do corpo + 9"/>
    <w:aliases w:val="5 pt31,Negrito"/>
    <w:rsid w:val="005761B6"/>
    <w:rPr>
      <w:rFonts w:ascii="Times New Roman" w:hAnsi="Times New Roman" w:cs="Times New Roman"/>
      <w:b/>
      <w:bCs/>
      <w:spacing w:val="0"/>
      <w:sz w:val="19"/>
      <w:szCs w:val="19"/>
      <w:lang w:bidi="ar-SA"/>
    </w:rPr>
  </w:style>
  <w:style w:type="character" w:customStyle="1" w:styleId="Textodocorpo8">
    <w:name w:val="Texto do corpo8"/>
    <w:rsid w:val="005761B6"/>
    <w:rPr>
      <w:rFonts w:ascii="Times New Roman" w:hAnsi="Times New Roman" w:cs="Times New Roman"/>
      <w:spacing w:val="0"/>
      <w:sz w:val="18"/>
      <w:szCs w:val="18"/>
      <w:lang w:bidi="ar-SA"/>
    </w:rPr>
  </w:style>
  <w:style w:type="character" w:customStyle="1" w:styleId="Textodocorpo91">
    <w:name w:val="Texto do corpo + 91"/>
    <w:aliases w:val="5 pt1,Negrito1"/>
    <w:rsid w:val="005761B6"/>
    <w:rPr>
      <w:rFonts w:ascii="Times New Roman" w:hAnsi="Times New Roman" w:cs="Times New Roman"/>
      <w:b/>
      <w:bCs/>
      <w:spacing w:val="0"/>
      <w:sz w:val="19"/>
      <w:szCs w:val="19"/>
      <w:lang w:bidi="ar-SA"/>
    </w:rPr>
  </w:style>
  <w:style w:type="character" w:customStyle="1" w:styleId="TextodocorpoNegrito8">
    <w:name w:val="Texto do corpo + Negrito8"/>
    <w:aliases w:val="Espaçamento 0 pt17"/>
    <w:rsid w:val="005761B6"/>
    <w:rPr>
      <w:rFonts w:ascii="Courier New" w:hAnsi="Courier New" w:cs="Courier New"/>
      <w:b/>
      <w:bCs/>
      <w:spacing w:val="-10"/>
      <w:sz w:val="18"/>
      <w:szCs w:val="18"/>
      <w:lang w:bidi="ar-SA"/>
    </w:rPr>
  </w:style>
  <w:style w:type="paragraph" w:customStyle="1" w:styleId="aro">
    <w:name w:val="aŹróło"/>
    <w:basedOn w:val="Normalny"/>
    <w:next w:val="Normalny"/>
    <w:rsid w:val="005761B6"/>
    <w:pPr>
      <w:spacing w:before="120" w:after="0" w:line="240" w:lineRule="auto"/>
      <w:jc w:val="both"/>
    </w:pPr>
    <w:rPr>
      <w:rFonts w:ascii="Garamond" w:eastAsia="Times New Roman" w:hAnsi="Garamond" w:cs="Times New Roman"/>
      <w:sz w:val="20"/>
      <w:szCs w:val="24"/>
      <w:lang w:eastAsia="pl-PL"/>
    </w:rPr>
  </w:style>
  <w:style w:type="paragraph" w:customStyle="1" w:styleId="aaTekst">
    <w:name w:val="aaTekst"/>
    <w:basedOn w:val="Normalny"/>
    <w:rsid w:val="005761B6"/>
    <w:pPr>
      <w:spacing w:after="0" w:line="240" w:lineRule="auto"/>
      <w:ind w:firstLine="284"/>
      <w:jc w:val="both"/>
    </w:pPr>
    <w:rPr>
      <w:rFonts w:ascii="Garamond" w:eastAsia="Times New Roman" w:hAnsi="Garamond" w:cs="Times New Roman"/>
      <w:szCs w:val="24"/>
      <w:lang w:eastAsia="pl-PL"/>
    </w:rPr>
  </w:style>
  <w:style w:type="character" w:customStyle="1" w:styleId="Notaderodap2">
    <w:name w:val="Nota de rodapé (2)_"/>
    <w:link w:val="Notaderodap21"/>
    <w:rsid w:val="005761B6"/>
    <w:rPr>
      <w:rFonts w:ascii="Book Antiqua" w:hAnsi="Book Antiqua"/>
      <w:i/>
      <w:iCs/>
      <w:sz w:val="15"/>
      <w:szCs w:val="15"/>
      <w:shd w:val="clear" w:color="auto" w:fill="FFFFFF"/>
    </w:rPr>
  </w:style>
  <w:style w:type="paragraph" w:customStyle="1" w:styleId="Notaderodap21">
    <w:name w:val="Nota de rodapé (2)1"/>
    <w:basedOn w:val="Normalny"/>
    <w:link w:val="Notaderodap2"/>
    <w:rsid w:val="005761B6"/>
    <w:pPr>
      <w:shd w:val="clear" w:color="auto" w:fill="FFFFFF"/>
      <w:spacing w:after="0" w:line="192" w:lineRule="exact"/>
      <w:jc w:val="both"/>
    </w:pPr>
    <w:rPr>
      <w:rFonts w:ascii="Book Antiqua" w:hAnsi="Book Antiqua"/>
      <w:i/>
      <w:iCs/>
      <w:sz w:val="15"/>
      <w:szCs w:val="15"/>
    </w:rPr>
  </w:style>
  <w:style w:type="character" w:customStyle="1" w:styleId="Notaderodap20">
    <w:name w:val="Nota de rodapé (2)"/>
    <w:basedOn w:val="Notaderodap2"/>
    <w:rsid w:val="005761B6"/>
    <w:rPr>
      <w:rFonts w:ascii="Book Antiqua" w:hAnsi="Book Antiqua"/>
      <w:i/>
      <w:iCs/>
      <w:sz w:val="15"/>
      <w:szCs w:val="15"/>
      <w:shd w:val="clear" w:color="auto" w:fill="FFFFFF"/>
    </w:rPr>
  </w:style>
  <w:style w:type="paragraph" w:customStyle="1" w:styleId="hd-ti">
    <w:name w:val="hd-ti"/>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hd-oj">
    <w:name w:val="hd-oj"/>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Stopka0">
    <w:name w:val="Stopka_"/>
    <w:rsid w:val="005761B6"/>
    <w:rPr>
      <w:sz w:val="24"/>
      <w:szCs w:val="24"/>
      <w:lang w:val="pl-PL" w:eastAsia="pl-PL" w:bidi="ar-SA"/>
    </w:rPr>
  </w:style>
  <w:style w:type="character" w:styleId="Odwoaniedokomentarza">
    <w:name w:val="annotation reference"/>
    <w:rsid w:val="005761B6"/>
    <w:rPr>
      <w:sz w:val="16"/>
      <w:szCs w:val="16"/>
    </w:rPr>
  </w:style>
  <w:style w:type="character" w:customStyle="1" w:styleId="Heading4Char">
    <w:name w:val="Heading 4 Char"/>
    <w:locked/>
    <w:rsid w:val="005761B6"/>
    <w:rPr>
      <w:rFonts w:ascii="Times New Roman" w:hAnsi="Times New Roman" w:cs="Times New Roman"/>
      <w:snapToGrid w:val="0"/>
      <w:kern w:val="28"/>
      <w:sz w:val="20"/>
      <w:szCs w:val="20"/>
      <w:u w:val="single"/>
      <w:lang w:val="x-none" w:eastAsia="pl-PL"/>
    </w:rPr>
  </w:style>
  <w:style w:type="character" w:customStyle="1" w:styleId="BodyTextFirstIndentChar">
    <w:name w:val="Body Text First Indent Char"/>
    <w:basedOn w:val="BodyTextChar"/>
    <w:locked/>
    <w:rsid w:val="005761B6"/>
    <w:rPr>
      <w:rFonts w:ascii="Times New Roman" w:hAnsi="Times New Roman" w:cs="Times New Roman"/>
      <w:sz w:val="24"/>
      <w:szCs w:val="24"/>
      <w:lang w:val="x-none" w:eastAsia="pl-PL"/>
    </w:rPr>
  </w:style>
  <w:style w:type="character" w:customStyle="1" w:styleId="BodyText2Char">
    <w:name w:val="Body Text 2 Char"/>
    <w:locked/>
    <w:rsid w:val="005761B6"/>
    <w:rPr>
      <w:rFonts w:ascii="Times New Roman" w:hAnsi="Times New Roman" w:cs="Times New Roman"/>
      <w:sz w:val="24"/>
      <w:szCs w:val="24"/>
      <w:lang w:val="x-none" w:eastAsia="pl-PL"/>
    </w:rPr>
  </w:style>
  <w:style w:type="character" w:customStyle="1" w:styleId="BodyTextIndent2Char">
    <w:name w:val="Body Text Indent 2 Char"/>
    <w:locked/>
    <w:rsid w:val="005761B6"/>
    <w:rPr>
      <w:rFonts w:ascii="Times New Roman" w:hAnsi="Times New Roman" w:cs="Times New Roman"/>
      <w:sz w:val="24"/>
      <w:szCs w:val="24"/>
      <w:lang w:val="x-none" w:eastAsia="pl-PL"/>
    </w:rPr>
  </w:style>
  <w:style w:type="character" w:customStyle="1" w:styleId="CommentTextChar">
    <w:name w:val="Comment Text Char"/>
    <w:locked/>
    <w:rsid w:val="005761B6"/>
    <w:rPr>
      <w:rFonts w:ascii="Times New Roman" w:hAnsi="Times New Roman" w:cs="Times New Roman"/>
      <w:sz w:val="20"/>
      <w:szCs w:val="20"/>
      <w:lang w:val="x-none" w:eastAsia="pl-PL"/>
    </w:rPr>
  </w:style>
  <w:style w:type="character" w:customStyle="1" w:styleId="CommentSubjectChar">
    <w:name w:val="Comment Subject Char"/>
    <w:locked/>
    <w:rsid w:val="005761B6"/>
    <w:rPr>
      <w:rFonts w:ascii="Times New Roman" w:hAnsi="Times New Roman" w:cs="Times New Roman"/>
      <w:b/>
      <w:bCs/>
      <w:sz w:val="20"/>
      <w:szCs w:val="20"/>
      <w:lang w:val="x-none" w:eastAsia="pl-PL"/>
    </w:rPr>
  </w:style>
  <w:style w:type="character" w:customStyle="1" w:styleId="HTMLPreformattedChar">
    <w:name w:val="HTML Preformatted Char"/>
    <w:locked/>
    <w:rsid w:val="005761B6"/>
    <w:rPr>
      <w:rFonts w:ascii="Courier New" w:hAnsi="Courier New" w:cs="Courier New"/>
      <w:sz w:val="20"/>
      <w:szCs w:val="20"/>
      <w:lang w:val="x-none" w:eastAsia="pl-PL"/>
    </w:rPr>
  </w:style>
  <w:style w:type="paragraph" w:customStyle="1" w:styleId="StylNagwek3TimesNewRoman">
    <w:name w:val="Styl Nagłówek 3 + Times New Roman"/>
    <w:basedOn w:val="Nagwek3"/>
    <w:rsid w:val="005761B6"/>
    <w:pPr>
      <w:keepNext/>
      <w:numPr>
        <w:ilvl w:val="2"/>
      </w:numPr>
      <w:tabs>
        <w:tab w:val="num" w:pos="0"/>
      </w:tabs>
      <w:spacing w:before="240" w:beforeAutospacing="0" w:after="60" w:afterAutospacing="0"/>
      <w:ind w:left="720" w:hanging="720"/>
    </w:pPr>
    <w:rPr>
      <w:rFonts w:cs="Arial"/>
      <w:sz w:val="26"/>
      <w:szCs w:val="26"/>
    </w:rPr>
  </w:style>
  <w:style w:type="character" w:customStyle="1" w:styleId="Heading3Char">
    <w:name w:val="Heading 3 Char"/>
    <w:locked/>
    <w:rsid w:val="005761B6"/>
    <w:rPr>
      <w:rFonts w:ascii="Times New Roman" w:hAnsi="Times New Roman" w:cs="Times New Roman"/>
      <w:b/>
      <w:bCs/>
      <w:sz w:val="24"/>
    </w:rPr>
  </w:style>
  <w:style w:type="character" w:customStyle="1" w:styleId="Heading6Char">
    <w:name w:val="Heading 6 Char"/>
    <w:locked/>
    <w:rsid w:val="005761B6"/>
    <w:rPr>
      <w:rFonts w:ascii="Cambria" w:hAnsi="Cambria" w:cs="Times New Roman"/>
      <w:i/>
      <w:iCs/>
      <w:color w:val="243F60"/>
      <w:sz w:val="24"/>
    </w:rPr>
  </w:style>
  <w:style w:type="character" w:customStyle="1" w:styleId="Heading7Char">
    <w:name w:val="Heading 7 Char"/>
    <w:locked/>
    <w:rsid w:val="005761B6"/>
    <w:rPr>
      <w:rFonts w:ascii="Cambria" w:hAnsi="Cambria" w:cs="Times New Roman"/>
      <w:i/>
      <w:iCs/>
      <w:color w:val="404040"/>
      <w:sz w:val="24"/>
    </w:rPr>
  </w:style>
  <w:style w:type="character" w:customStyle="1" w:styleId="Heading8Char">
    <w:name w:val="Heading 8 Char"/>
    <w:locked/>
    <w:rsid w:val="005761B6"/>
    <w:rPr>
      <w:rFonts w:ascii="Cambria" w:hAnsi="Cambria" w:cs="Times New Roman"/>
      <w:color w:val="404040"/>
      <w:sz w:val="20"/>
      <w:szCs w:val="20"/>
    </w:rPr>
  </w:style>
  <w:style w:type="character" w:customStyle="1" w:styleId="Heading9Char">
    <w:name w:val="Heading 9 Char"/>
    <w:locked/>
    <w:rsid w:val="005761B6"/>
    <w:rPr>
      <w:rFonts w:ascii="Cambria" w:hAnsi="Cambria" w:cs="Times New Roman"/>
      <w:i/>
      <w:iCs/>
      <w:color w:val="404040"/>
      <w:sz w:val="20"/>
      <w:szCs w:val="20"/>
    </w:rPr>
  </w:style>
  <w:style w:type="character" w:customStyle="1" w:styleId="SubtitleChar">
    <w:name w:val="Subtitle Char"/>
    <w:locked/>
    <w:rsid w:val="005761B6"/>
    <w:rPr>
      <w:rFonts w:ascii="Cambria" w:hAnsi="Cambria" w:cs="Times New Roman"/>
      <w:i/>
      <w:iCs/>
      <w:spacing w:val="15"/>
      <w:sz w:val="24"/>
      <w:szCs w:val="24"/>
    </w:rPr>
  </w:style>
  <w:style w:type="character" w:customStyle="1" w:styleId="TitleChar">
    <w:name w:val="Title Char"/>
    <w:locked/>
    <w:rsid w:val="005761B6"/>
    <w:rPr>
      <w:rFonts w:ascii="Cambria" w:hAnsi="Cambria" w:cs="Times New Roman"/>
      <w:spacing w:val="5"/>
      <w:kern w:val="28"/>
      <w:sz w:val="52"/>
      <w:szCs w:val="52"/>
    </w:rPr>
  </w:style>
  <w:style w:type="character" w:customStyle="1" w:styleId="Wyrnienieintensywne1">
    <w:name w:val="Wyróżnienie intensywne1"/>
    <w:rsid w:val="005761B6"/>
    <w:rPr>
      <w:rFonts w:cs="Times New Roman"/>
      <w:b/>
      <w:bCs/>
      <w:i/>
      <w:iCs/>
      <w:color w:val="auto"/>
    </w:rPr>
  </w:style>
  <w:style w:type="paragraph" w:customStyle="1" w:styleId="Cytatintensywny1">
    <w:name w:val="Cytat intensywny1"/>
    <w:basedOn w:val="Normalny"/>
    <w:next w:val="Normalny"/>
    <w:link w:val="IntenseQuoteChar"/>
    <w:rsid w:val="005761B6"/>
    <w:pPr>
      <w:spacing w:before="200" w:after="280" w:line="276" w:lineRule="auto"/>
      <w:ind w:left="936" w:right="936" w:firstLine="357"/>
      <w:jc w:val="both"/>
    </w:pPr>
    <w:rPr>
      <w:rFonts w:ascii="Times New Roman" w:eastAsia="Times New Roman" w:hAnsi="Times New Roman" w:cs="Times New Roman"/>
      <w:b/>
      <w:bCs/>
      <w:i/>
      <w:iCs/>
      <w:sz w:val="24"/>
    </w:rPr>
  </w:style>
  <w:style w:type="character" w:customStyle="1" w:styleId="IntenseQuoteChar">
    <w:name w:val="Intense Quote Char"/>
    <w:link w:val="Cytatintensywny1"/>
    <w:locked/>
    <w:rsid w:val="005761B6"/>
    <w:rPr>
      <w:rFonts w:ascii="Times New Roman" w:eastAsia="Times New Roman" w:hAnsi="Times New Roman" w:cs="Times New Roman"/>
      <w:b/>
      <w:bCs/>
      <w:i/>
      <w:iCs/>
      <w:sz w:val="24"/>
    </w:rPr>
  </w:style>
  <w:style w:type="paragraph" w:customStyle="1" w:styleId="Bezodstpw1">
    <w:name w:val="Bez odstępów1"/>
    <w:rsid w:val="005761B6"/>
    <w:pPr>
      <w:spacing w:after="0" w:line="240" w:lineRule="auto"/>
      <w:jc w:val="both"/>
    </w:pPr>
    <w:rPr>
      <w:rFonts w:ascii="Arial" w:eastAsia="Calibri" w:hAnsi="Arial" w:cs="Times New Roman"/>
      <w:sz w:val="24"/>
      <w:szCs w:val="20"/>
      <w:lang w:eastAsia="pl-PL"/>
    </w:rPr>
  </w:style>
  <w:style w:type="character" w:customStyle="1" w:styleId="Wyrnieniedelikatne1">
    <w:name w:val="Wyróżnienie delikatne1"/>
    <w:rsid w:val="005761B6"/>
    <w:rPr>
      <w:rFonts w:cs="Times New Roman"/>
      <w:i/>
      <w:iCs/>
      <w:color w:val="808080"/>
    </w:rPr>
  </w:style>
  <w:style w:type="paragraph" w:customStyle="1" w:styleId="Tekstzasadniczy">
    <w:name w:val="Tekst zasadniczy"/>
    <w:basedOn w:val="Normalny"/>
    <w:rsid w:val="005761B6"/>
    <w:pPr>
      <w:spacing w:after="0" w:line="240" w:lineRule="auto"/>
      <w:ind w:firstLine="284"/>
      <w:jc w:val="both"/>
    </w:pPr>
    <w:rPr>
      <w:rFonts w:ascii="Times New Roman" w:eastAsia="Calibri" w:hAnsi="Times New Roman" w:cs="Times New Roman"/>
      <w:sz w:val="24"/>
    </w:rPr>
  </w:style>
  <w:style w:type="paragraph" w:customStyle="1" w:styleId="Akapitzlist11">
    <w:name w:val="Akapit z listą11"/>
    <w:basedOn w:val="Normalny"/>
    <w:rsid w:val="005761B6"/>
    <w:pPr>
      <w:spacing w:after="0" w:line="240" w:lineRule="auto"/>
      <w:ind w:left="720" w:firstLine="709"/>
      <w:contextualSpacing/>
    </w:pPr>
    <w:rPr>
      <w:rFonts w:ascii="Calibri" w:eastAsia="Times New Roman" w:hAnsi="Calibri" w:cs="Times New Roman"/>
    </w:rPr>
  </w:style>
  <w:style w:type="paragraph" w:customStyle="1" w:styleId="xl71">
    <w:name w:val="xl71"/>
    <w:basedOn w:val="Normalny"/>
    <w:rsid w:val="005761B6"/>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Calibri" w:eastAsia="Calibri" w:hAnsi="Calibri" w:cs="Calibri"/>
      <w:sz w:val="24"/>
      <w:szCs w:val="24"/>
      <w:lang w:eastAsia="pl-PL"/>
    </w:rPr>
  </w:style>
  <w:style w:type="paragraph" w:customStyle="1" w:styleId="xl72">
    <w:name w:val="xl72"/>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3">
    <w:name w:val="xl73"/>
    <w:basedOn w:val="Normalny"/>
    <w:rsid w:val="005761B6"/>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4">
    <w:name w:val="xl74"/>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5">
    <w:name w:val="xl75"/>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6">
    <w:name w:val="xl76"/>
    <w:basedOn w:val="Normalny"/>
    <w:rsid w:val="005761B6"/>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7">
    <w:name w:val="xl77"/>
    <w:basedOn w:val="Normalny"/>
    <w:rsid w:val="005761B6"/>
    <w:pPr>
      <w:pBdr>
        <w:top w:val="single" w:sz="8"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8">
    <w:name w:val="xl78"/>
    <w:basedOn w:val="Normalny"/>
    <w:rsid w:val="005761B6"/>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79">
    <w:name w:val="xl79"/>
    <w:basedOn w:val="Normalny"/>
    <w:rsid w:val="005761B6"/>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80">
    <w:name w:val="xl80"/>
    <w:basedOn w:val="Normalny"/>
    <w:rsid w:val="005761B6"/>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81">
    <w:name w:val="xl81"/>
    <w:basedOn w:val="Normalny"/>
    <w:rsid w:val="005761B6"/>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Calibri" w:hAnsi="Calibri" w:cs="Calibri"/>
      <w:b/>
      <w:bCs/>
      <w:sz w:val="24"/>
      <w:szCs w:val="24"/>
      <w:lang w:eastAsia="pl-PL"/>
    </w:rPr>
  </w:style>
  <w:style w:type="paragraph" w:customStyle="1" w:styleId="xl82">
    <w:name w:val="xl82"/>
    <w:basedOn w:val="Normalny"/>
    <w:rsid w:val="005761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Calibri" w:hAnsi="Calibri" w:cs="Calibri"/>
      <w:sz w:val="24"/>
      <w:szCs w:val="24"/>
      <w:lang w:eastAsia="pl-PL"/>
    </w:rPr>
  </w:style>
  <w:style w:type="paragraph" w:customStyle="1" w:styleId="xl83">
    <w:name w:val="xl83"/>
    <w:basedOn w:val="Normalny"/>
    <w:rsid w:val="005761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sz w:val="24"/>
      <w:szCs w:val="24"/>
      <w:lang w:eastAsia="pl-PL"/>
    </w:rPr>
  </w:style>
  <w:style w:type="paragraph" w:customStyle="1" w:styleId="xl84">
    <w:name w:val="xl84"/>
    <w:basedOn w:val="Normalny"/>
    <w:rsid w:val="005761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85">
    <w:name w:val="xl85"/>
    <w:basedOn w:val="Normalny"/>
    <w:rsid w:val="005761B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86">
    <w:name w:val="xl86"/>
    <w:basedOn w:val="Normalny"/>
    <w:rsid w:val="005761B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Calibri" w:hAnsi="Calibri" w:cs="Calibri"/>
      <w:sz w:val="24"/>
      <w:szCs w:val="24"/>
      <w:lang w:eastAsia="pl-PL"/>
    </w:rPr>
  </w:style>
  <w:style w:type="paragraph" w:customStyle="1" w:styleId="xl87">
    <w:name w:val="xl87"/>
    <w:basedOn w:val="Normalny"/>
    <w:rsid w:val="005761B6"/>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sz w:val="24"/>
      <w:szCs w:val="24"/>
      <w:lang w:eastAsia="pl-PL"/>
    </w:rPr>
  </w:style>
  <w:style w:type="paragraph" w:customStyle="1" w:styleId="xl88">
    <w:name w:val="xl88"/>
    <w:basedOn w:val="Normalny"/>
    <w:rsid w:val="005761B6"/>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89">
    <w:name w:val="xl89"/>
    <w:basedOn w:val="Normalny"/>
    <w:rsid w:val="005761B6"/>
    <w:pPr>
      <w:pBdr>
        <w:top w:val="single" w:sz="4" w:space="0" w:color="auto"/>
        <w:left w:val="single" w:sz="4" w:space="0" w:color="auto"/>
        <w:right w:val="single" w:sz="8"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90">
    <w:name w:val="xl90"/>
    <w:basedOn w:val="Normalny"/>
    <w:rsid w:val="005761B6"/>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91">
    <w:name w:val="xl91"/>
    <w:basedOn w:val="Normalny"/>
    <w:rsid w:val="005761B6"/>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92">
    <w:name w:val="xl92"/>
    <w:basedOn w:val="Normalny"/>
    <w:rsid w:val="005761B6"/>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93">
    <w:name w:val="xl93"/>
    <w:basedOn w:val="Normalny"/>
    <w:rsid w:val="005761B6"/>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94">
    <w:name w:val="xl94"/>
    <w:basedOn w:val="Normalny"/>
    <w:rsid w:val="005761B6"/>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95">
    <w:name w:val="xl95"/>
    <w:basedOn w:val="Normalny"/>
    <w:rsid w:val="005761B6"/>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Calibri" w:hAnsi="Calibri" w:cs="Calibri"/>
      <w:b/>
      <w:bCs/>
      <w:sz w:val="24"/>
      <w:szCs w:val="24"/>
      <w:lang w:eastAsia="pl-PL"/>
    </w:rPr>
  </w:style>
  <w:style w:type="paragraph" w:customStyle="1" w:styleId="xl96">
    <w:name w:val="xl96"/>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sz w:val="24"/>
      <w:szCs w:val="24"/>
      <w:lang w:eastAsia="pl-PL"/>
    </w:rPr>
  </w:style>
  <w:style w:type="paragraph" w:customStyle="1" w:styleId="xl97">
    <w:name w:val="xl97"/>
    <w:basedOn w:val="Normalny"/>
    <w:rsid w:val="005761B6"/>
    <w:pPr>
      <w:spacing w:before="100" w:beforeAutospacing="1" w:after="100" w:afterAutospacing="1" w:line="240" w:lineRule="auto"/>
      <w:jc w:val="center"/>
      <w:textAlignment w:val="center"/>
    </w:pPr>
    <w:rPr>
      <w:rFonts w:ascii="Calibri" w:eastAsia="Calibri" w:hAnsi="Calibri" w:cs="Calibri"/>
      <w:sz w:val="24"/>
      <w:szCs w:val="24"/>
      <w:lang w:eastAsia="pl-PL"/>
    </w:rPr>
  </w:style>
  <w:style w:type="paragraph" w:customStyle="1" w:styleId="xl98">
    <w:name w:val="xl98"/>
    <w:basedOn w:val="Normalny"/>
    <w:rsid w:val="005761B6"/>
    <w:pPr>
      <w:spacing w:before="100" w:beforeAutospacing="1" w:after="100" w:afterAutospacing="1" w:line="240" w:lineRule="auto"/>
      <w:textAlignment w:val="center"/>
    </w:pPr>
    <w:rPr>
      <w:rFonts w:ascii="Calibri" w:eastAsia="Calibri" w:hAnsi="Calibri" w:cs="Calibri"/>
      <w:sz w:val="24"/>
      <w:szCs w:val="24"/>
      <w:lang w:eastAsia="pl-PL"/>
    </w:rPr>
  </w:style>
  <w:style w:type="paragraph" w:customStyle="1" w:styleId="xl99">
    <w:name w:val="xl99"/>
    <w:basedOn w:val="Normalny"/>
    <w:rsid w:val="005761B6"/>
    <w:pPr>
      <w:spacing w:before="100" w:beforeAutospacing="1" w:after="100" w:afterAutospacing="1" w:line="240" w:lineRule="auto"/>
      <w:textAlignment w:val="center"/>
    </w:pPr>
    <w:rPr>
      <w:rFonts w:ascii="Calibri" w:eastAsia="Calibri" w:hAnsi="Calibri" w:cs="Calibri"/>
      <w:b/>
      <w:bCs/>
      <w:sz w:val="24"/>
      <w:szCs w:val="24"/>
      <w:lang w:eastAsia="pl-PL"/>
    </w:rPr>
  </w:style>
  <w:style w:type="paragraph" w:customStyle="1" w:styleId="xl100">
    <w:name w:val="xl100"/>
    <w:basedOn w:val="Normalny"/>
    <w:rsid w:val="005761B6"/>
    <w:pPr>
      <w:spacing w:before="100" w:beforeAutospacing="1" w:after="100" w:afterAutospacing="1" w:line="240" w:lineRule="auto"/>
    </w:pPr>
    <w:rPr>
      <w:rFonts w:ascii="Calibri" w:eastAsia="Calibri" w:hAnsi="Calibri" w:cs="Calibri"/>
      <w:sz w:val="24"/>
      <w:szCs w:val="24"/>
      <w:lang w:eastAsia="pl-PL"/>
    </w:rPr>
  </w:style>
  <w:style w:type="paragraph" w:customStyle="1" w:styleId="xl101">
    <w:name w:val="xl101"/>
    <w:basedOn w:val="Normalny"/>
    <w:rsid w:val="005761B6"/>
    <w:pPr>
      <w:spacing w:before="100" w:beforeAutospacing="1" w:after="100" w:afterAutospacing="1" w:line="240" w:lineRule="auto"/>
    </w:pPr>
    <w:rPr>
      <w:rFonts w:ascii="Calibri" w:eastAsia="Calibri" w:hAnsi="Calibri" w:cs="Calibri"/>
      <w:sz w:val="24"/>
      <w:szCs w:val="24"/>
      <w:lang w:eastAsia="pl-PL"/>
    </w:rPr>
  </w:style>
  <w:style w:type="paragraph" w:customStyle="1" w:styleId="xl102">
    <w:name w:val="xl102"/>
    <w:basedOn w:val="Normalny"/>
    <w:rsid w:val="005761B6"/>
    <w:pPr>
      <w:shd w:val="clear" w:color="000000" w:fill="FFFFFF"/>
      <w:spacing w:before="100" w:beforeAutospacing="1" w:after="100" w:afterAutospacing="1" w:line="240" w:lineRule="auto"/>
    </w:pPr>
    <w:rPr>
      <w:rFonts w:ascii="Calibri" w:eastAsia="Calibri" w:hAnsi="Calibri" w:cs="Calibri"/>
      <w:sz w:val="24"/>
      <w:szCs w:val="24"/>
      <w:lang w:eastAsia="pl-PL"/>
    </w:rPr>
  </w:style>
  <w:style w:type="paragraph" w:customStyle="1" w:styleId="xl103">
    <w:name w:val="xl103"/>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Calibri" w:hAnsi="Times New Roman" w:cs="Times New Roman"/>
      <w:sz w:val="24"/>
      <w:szCs w:val="24"/>
      <w:lang w:eastAsia="pl-PL"/>
    </w:rPr>
  </w:style>
  <w:style w:type="paragraph" w:customStyle="1" w:styleId="xl104">
    <w:name w:val="xl104"/>
    <w:basedOn w:val="Normalny"/>
    <w:rsid w:val="005761B6"/>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8"/>
      <w:szCs w:val="28"/>
      <w:lang w:eastAsia="pl-PL"/>
    </w:rPr>
  </w:style>
  <w:style w:type="paragraph" w:customStyle="1" w:styleId="xl105">
    <w:name w:val="xl105"/>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106">
    <w:name w:val="xl106"/>
    <w:basedOn w:val="Normalny"/>
    <w:rsid w:val="005761B6"/>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8"/>
      <w:szCs w:val="28"/>
      <w:lang w:eastAsia="pl-PL"/>
    </w:rPr>
  </w:style>
  <w:style w:type="paragraph" w:customStyle="1" w:styleId="xl107">
    <w:name w:val="xl107"/>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108">
    <w:name w:val="xl108"/>
    <w:basedOn w:val="Normalny"/>
    <w:rsid w:val="005761B6"/>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Calibri" w:hAnsi="Calibri" w:cs="Calibri"/>
      <w:b/>
      <w:bCs/>
      <w:sz w:val="24"/>
      <w:szCs w:val="24"/>
      <w:lang w:eastAsia="pl-PL"/>
    </w:rPr>
  </w:style>
  <w:style w:type="paragraph" w:customStyle="1" w:styleId="xl109">
    <w:name w:val="xl109"/>
    <w:basedOn w:val="Normalny"/>
    <w:rsid w:val="005761B6"/>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Calibri" w:hAnsi="Times New Roman" w:cs="Times New Roman"/>
      <w:sz w:val="24"/>
      <w:szCs w:val="24"/>
      <w:lang w:eastAsia="pl-PL"/>
    </w:rPr>
  </w:style>
  <w:style w:type="paragraph" w:styleId="Mapadokumentu">
    <w:name w:val="Document Map"/>
    <w:basedOn w:val="Normalny"/>
    <w:link w:val="MapadokumentuZnak"/>
    <w:semiHidden/>
    <w:rsid w:val="005761B6"/>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basedOn w:val="Domylnaczcionkaakapitu"/>
    <w:link w:val="Mapadokumentu"/>
    <w:semiHidden/>
    <w:rsid w:val="005761B6"/>
    <w:rPr>
      <w:rFonts w:ascii="Tahoma" w:eastAsia="Times New Roman" w:hAnsi="Tahoma" w:cs="Tahoma"/>
      <w:sz w:val="20"/>
      <w:szCs w:val="20"/>
      <w:shd w:val="clear" w:color="auto" w:fill="000080"/>
      <w:lang w:eastAsia="pl-PL"/>
    </w:rPr>
  </w:style>
  <w:style w:type="character" w:customStyle="1" w:styleId="text-field">
    <w:name w:val="text-field"/>
    <w:basedOn w:val="Domylnaczcionkaakapitu"/>
    <w:rsid w:val="005761B6"/>
  </w:style>
  <w:style w:type="character" w:customStyle="1" w:styleId="fs16">
    <w:name w:val="fs16"/>
    <w:basedOn w:val="Domylnaczcionkaakapitu"/>
    <w:rsid w:val="005761B6"/>
  </w:style>
  <w:style w:type="character" w:customStyle="1" w:styleId="Ttulo1">
    <w:name w:val="Título #1"/>
    <w:rsid w:val="005761B6"/>
    <w:rPr>
      <w:rFonts w:ascii="Trebuchet MS" w:hAnsi="Trebuchet MS" w:cs="Trebuchet MS" w:hint="default"/>
      <w:b/>
      <w:bCs/>
      <w:spacing w:val="0"/>
      <w:sz w:val="31"/>
      <w:szCs w:val="31"/>
    </w:rPr>
  </w:style>
  <w:style w:type="character" w:customStyle="1" w:styleId="citation">
    <w:name w:val="citation"/>
    <w:basedOn w:val="Domylnaczcionkaakapitu"/>
    <w:rsid w:val="005761B6"/>
  </w:style>
  <w:style w:type="character" w:customStyle="1" w:styleId="Notaderodap2Semitlico8">
    <w:name w:val="Nota de rodapé (2) + Sem itálico8"/>
    <w:basedOn w:val="Notaderodap2"/>
    <w:rsid w:val="005761B6"/>
    <w:rPr>
      <w:rFonts w:ascii="Book Antiqua" w:hAnsi="Book Antiqua"/>
      <w:i/>
      <w:iCs/>
      <w:sz w:val="15"/>
      <w:szCs w:val="15"/>
      <w:shd w:val="clear" w:color="auto" w:fill="FFFFFF"/>
    </w:rPr>
  </w:style>
  <w:style w:type="character" w:customStyle="1" w:styleId="Notaderodap29">
    <w:name w:val="Nota de rodapé (2)9"/>
    <w:basedOn w:val="Notaderodap2"/>
    <w:rsid w:val="005761B6"/>
    <w:rPr>
      <w:rFonts w:ascii="Book Antiqua" w:hAnsi="Book Antiqua"/>
      <w:i/>
      <w:iCs/>
      <w:sz w:val="15"/>
      <w:szCs w:val="15"/>
      <w:shd w:val="clear" w:color="auto" w:fill="FFFFFF"/>
    </w:rPr>
  </w:style>
  <w:style w:type="character" w:customStyle="1" w:styleId="Notaderodap28pt6">
    <w:name w:val="Nota de rodapé (2) + 8 pt6"/>
    <w:aliases w:val="Espaçamento 0 pt13"/>
    <w:rsid w:val="005761B6"/>
    <w:rPr>
      <w:rFonts w:ascii="Book Antiqua" w:hAnsi="Book Antiqua"/>
      <w:i/>
      <w:iCs/>
      <w:spacing w:val="-10"/>
      <w:sz w:val="16"/>
      <w:szCs w:val="16"/>
      <w:lang w:bidi="ar-SA"/>
    </w:rPr>
  </w:style>
  <w:style w:type="character" w:customStyle="1" w:styleId="Textodocorpo15">
    <w:name w:val="Texto do corpo15"/>
    <w:rsid w:val="005761B6"/>
    <w:rPr>
      <w:rFonts w:ascii="Book Antiqua" w:hAnsi="Book Antiqua" w:cs="Book Antiqua" w:hint="default"/>
      <w:b/>
      <w:bCs/>
      <w:sz w:val="18"/>
      <w:szCs w:val="18"/>
      <w:lang w:bidi="ar-SA"/>
    </w:rPr>
  </w:style>
  <w:style w:type="character" w:customStyle="1" w:styleId="wydawca">
    <w:name w:val="wydawca"/>
    <w:basedOn w:val="Domylnaczcionkaakapitu"/>
    <w:rsid w:val="005761B6"/>
  </w:style>
  <w:style w:type="character" w:customStyle="1" w:styleId="ZnakZnak9">
    <w:name w:val="Znak Znak9"/>
    <w:semiHidden/>
    <w:locked/>
    <w:rsid w:val="005761B6"/>
    <w:rPr>
      <w:rFonts w:ascii="Courier New" w:hAnsi="Courier New" w:cs="Courier New"/>
      <w:lang w:val="pl-PL" w:eastAsia="pl-PL" w:bidi="ar-SA"/>
    </w:rPr>
  </w:style>
  <w:style w:type="paragraph" w:customStyle="1" w:styleId="mjz1">
    <w:name w:val="mjz1"/>
    <w:basedOn w:val="Normalny"/>
    <w:rsid w:val="005761B6"/>
    <w:pPr>
      <w:spacing w:after="0" w:line="312" w:lineRule="auto"/>
      <w:jc w:val="both"/>
    </w:pPr>
    <w:rPr>
      <w:rFonts w:ascii="Arial" w:eastAsia="Times New Roman" w:hAnsi="Arial" w:cs="Times New Roman"/>
      <w:sz w:val="24"/>
      <w:szCs w:val="20"/>
      <w:lang w:eastAsia="pl-PL"/>
    </w:rPr>
  </w:style>
  <w:style w:type="character" w:customStyle="1" w:styleId="ZnakZnak1">
    <w:name w:val="Znak Znak1"/>
    <w:aliases w:val="bt Znak1,b Znak1,Tekst podstawowy Znak Znak Znak Znak Znak Znak Znak Znak Znak1,block style Znak1,Tekst podstawowy Znak Znak Znak Znak Znak Znak11,Tekst podstawowy Znak Znak Znak Znak1,Tekst podstawowy Znak Znak Znak Znak Znak Znak Znak1"/>
    <w:semiHidden/>
    <w:locked/>
    <w:rsid w:val="005761B6"/>
    <w:rPr>
      <w:sz w:val="24"/>
      <w:szCs w:val="24"/>
      <w:lang w:val="pl-PL" w:eastAsia="pl-PL" w:bidi="ar-SA"/>
    </w:rPr>
  </w:style>
  <w:style w:type="character" w:customStyle="1" w:styleId="Stopka2Bezkursywy5">
    <w:name w:val="Stopka (2) + Bez kursywy5"/>
    <w:aliases w:val="Odstępy 0 pt14"/>
    <w:rsid w:val="005761B6"/>
    <w:rPr>
      <w:i/>
      <w:iCs/>
      <w:spacing w:val="0"/>
      <w:sz w:val="16"/>
      <w:szCs w:val="16"/>
      <w:lang w:bidi="ar-SA"/>
    </w:rPr>
  </w:style>
  <w:style w:type="character" w:customStyle="1" w:styleId="StopkaKursywa1">
    <w:name w:val="Stopka + Kursywa1"/>
    <w:rsid w:val="005761B6"/>
    <w:rPr>
      <w:rFonts w:ascii="Times New Roman" w:hAnsi="Times New Roman" w:cs="Times New Roman"/>
      <w:i/>
      <w:iCs/>
      <w:spacing w:val="0"/>
      <w:sz w:val="17"/>
      <w:szCs w:val="17"/>
      <w:lang w:val="pl-PL" w:eastAsia="pl-PL" w:bidi="ar-SA"/>
    </w:rPr>
  </w:style>
  <w:style w:type="character" w:customStyle="1" w:styleId="Stopka272">
    <w:name w:val="Stopka (2) + 72"/>
    <w:aliases w:val="5 pt5,Bez pogrubienia2"/>
    <w:rsid w:val="005761B6"/>
    <w:rPr>
      <w:b/>
      <w:bCs/>
      <w:i/>
      <w:iCs/>
      <w:sz w:val="15"/>
      <w:szCs w:val="15"/>
      <w:lang w:val="en-US" w:eastAsia="en-US" w:bidi="ar-SA"/>
    </w:rPr>
  </w:style>
  <w:style w:type="character" w:customStyle="1" w:styleId="StopkaKursywa">
    <w:name w:val="Stopka + Kursywa"/>
    <w:aliases w:val="Odstępy 0 pt"/>
    <w:rsid w:val="005761B6"/>
    <w:rPr>
      <w:rFonts w:ascii="Times New Roman" w:hAnsi="Times New Roman" w:cs="Times New Roman"/>
      <w:i/>
      <w:iCs/>
      <w:spacing w:val="-10"/>
      <w:sz w:val="16"/>
      <w:szCs w:val="16"/>
      <w:lang w:val="pl-PL" w:eastAsia="pl-PL" w:bidi="ar-SA"/>
    </w:rPr>
  </w:style>
  <w:style w:type="paragraph" w:customStyle="1" w:styleId="Notaderodap1">
    <w:name w:val="Nota de rodapé1"/>
    <w:basedOn w:val="Normalny"/>
    <w:rsid w:val="005761B6"/>
    <w:pPr>
      <w:shd w:val="clear" w:color="auto" w:fill="FFFFFF"/>
      <w:spacing w:after="0" w:line="192" w:lineRule="exact"/>
    </w:pPr>
    <w:rPr>
      <w:rFonts w:ascii="Book Antiqua" w:eastAsia="Microsoft Sans Serif" w:hAnsi="Book Antiqua" w:cs="Book Antiqua"/>
      <w:sz w:val="15"/>
      <w:szCs w:val="15"/>
      <w:lang w:eastAsia="pl-PL"/>
    </w:rPr>
  </w:style>
  <w:style w:type="character" w:customStyle="1" w:styleId="Notaderodap212">
    <w:name w:val="Nota de rodapé (2)12"/>
    <w:rsid w:val="005761B6"/>
    <w:rPr>
      <w:rFonts w:ascii="Book Antiqua" w:hAnsi="Book Antiqua" w:cs="Book Antiqua"/>
      <w:i/>
      <w:iCs/>
      <w:spacing w:val="0"/>
      <w:sz w:val="15"/>
      <w:szCs w:val="15"/>
      <w:lang w:bidi="ar-SA"/>
    </w:rPr>
  </w:style>
  <w:style w:type="character" w:customStyle="1" w:styleId="Textodocorpo19">
    <w:name w:val="Texto do corpo19"/>
    <w:rsid w:val="005761B6"/>
    <w:rPr>
      <w:rFonts w:ascii="Book Antiqua" w:hAnsi="Book Antiqua" w:cs="Book Antiqua"/>
      <w:b/>
      <w:bCs/>
      <w:spacing w:val="0"/>
      <w:sz w:val="18"/>
      <w:szCs w:val="18"/>
      <w:lang w:bidi="ar-SA"/>
    </w:rPr>
  </w:style>
  <w:style w:type="character" w:customStyle="1" w:styleId="Notaderodap16">
    <w:name w:val="Nota de rodapé16"/>
    <w:rsid w:val="005761B6"/>
    <w:rPr>
      <w:rFonts w:ascii="Book Antiqua" w:hAnsi="Book Antiqua" w:cs="Book Antiqua" w:hint="default"/>
      <w:b/>
      <w:bCs/>
      <w:sz w:val="15"/>
      <w:szCs w:val="15"/>
      <w:lang w:bidi="ar-SA"/>
    </w:rPr>
  </w:style>
  <w:style w:type="character" w:customStyle="1" w:styleId="NotaderodapItlico">
    <w:name w:val="Nota de rodapé + Itálico"/>
    <w:rsid w:val="005761B6"/>
    <w:rPr>
      <w:rFonts w:ascii="Book Antiqua" w:hAnsi="Book Antiqua" w:cs="Book Antiqua" w:hint="default"/>
      <w:b/>
      <w:bCs/>
      <w:i/>
      <w:iCs/>
      <w:spacing w:val="0"/>
      <w:sz w:val="15"/>
      <w:szCs w:val="15"/>
      <w:lang w:bidi="ar-SA"/>
    </w:rPr>
  </w:style>
  <w:style w:type="character" w:customStyle="1" w:styleId="Notaderodap2Semitlico9">
    <w:name w:val="Nota de rodapé (2) + Sem itálico9"/>
    <w:rsid w:val="005761B6"/>
    <w:rPr>
      <w:rFonts w:ascii="Book Antiqua" w:hAnsi="Book Antiqua" w:cs="Book Antiqua"/>
      <w:i/>
      <w:iCs/>
      <w:spacing w:val="0"/>
      <w:sz w:val="15"/>
      <w:szCs w:val="15"/>
      <w:lang w:bidi="ar-SA"/>
    </w:rPr>
  </w:style>
  <w:style w:type="character" w:customStyle="1" w:styleId="Notaderodap211">
    <w:name w:val="Nota de rodapé (2)11"/>
    <w:rsid w:val="005761B6"/>
    <w:rPr>
      <w:rFonts w:ascii="Book Antiqua" w:hAnsi="Book Antiqua" w:cs="Book Antiqua"/>
      <w:i/>
      <w:iCs/>
      <w:spacing w:val="0"/>
      <w:sz w:val="15"/>
      <w:szCs w:val="15"/>
      <w:lang w:bidi="ar-SA"/>
    </w:rPr>
  </w:style>
  <w:style w:type="character" w:customStyle="1" w:styleId="Notaderodap15">
    <w:name w:val="Nota de rodapé15"/>
    <w:rsid w:val="005761B6"/>
    <w:rPr>
      <w:rFonts w:ascii="Book Antiqua" w:hAnsi="Book Antiqua" w:cs="Book Antiqua" w:hint="default"/>
      <w:b/>
      <w:bCs/>
      <w:sz w:val="15"/>
      <w:szCs w:val="15"/>
      <w:lang w:bidi="ar-SA"/>
    </w:rPr>
  </w:style>
  <w:style w:type="character" w:customStyle="1" w:styleId="NotaderodapItlico12">
    <w:name w:val="Nota de rodapé + Itálico12"/>
    <w:rsid w:val="005761B6"/>
    <w:rPr>
      <w:rFonts w:ascii="Book Antiqua" w:hAnsi="Book Antiqua" w:cs="Book Antiqua" w:hint="default"/>
      <w:b/>
      <w:bCs/>
      <w:i/>
      <w:iCs/>
      <w:spacing w:val="0"/>
      <w:sz w:val="15"/>
      <w:szCs w:val="15"/>
      <w:lang w:bidi="ar-SA"/>
    </w:rPr>
  </w:style>
  <w:style w:type="character" w:customStyle="1" w:styleId="Textodocorpo2">
    <w:name w:val="Texto do corpo2"/>
    <w:rsid w:val="005761B6"/>
    <w:rPr>
      <w:rFonts w:ascii="Book Antiqua" w:hAnsi="Book Antiqua" w:cs="Book Antiqua" w:hint="default"/>
      <w:spacing w:val="0"/>
      <w:sz w:val="18"/>
      <w:szCs w:val="18"/>
      <w:lang w:bidi="ar-SA"/>
    </w:rPr>
  </w:style>
  <w:style w:type="character" w:customStyle="1" w:styleId="Textodocorpo90">
    <w:name w:val="Texto do corpo (9)_"/>
    <w:link w:val="Textodocorpo910"/>
    <w:locked/>
    <w:rsid w:val="005761B6"/>
    <w:rPr>
      <w:rFonts w:ascii="Courier New" w:hAnsi="Courier New"/>
      <w:b/>
      <w:bCs/>
      <w:sz w:val="17"/>
      <w:szCs w:val="17"/>
      <w:shd w:val="clear" w:color="auto" w:fill="FFFFFF"/>
    </w:rPr>
  </w:style>
  <w:style w:type="paragraph" w:customStyle="1" w:styleId="Textodocorpo910">
    <w:name w:val="Texto do corpo (9)1"/>
    <w:basedOn w:val="Normalny"/>
    <w:link w:val="Textodocorpo90"/>
    <w:rsid w:val="005761B6"/>
    <w:pPr>
      <w:shd w:val="clear" w:color="auto" w:fill="FFFFFF"/>
      <w:spacing w:after="0" w:line="263" w:lineRule="exact"/>
      <w:ind w:hanging="1160"/>
    </w:pPr>
    <w:rPr>
      <w:rFonts w:ascii="Courier New" w:hAnsi="Courier New"/>
      <w:b/>
      <w:bCs/>
      <w:sz w:val="17"/>
      <w:szCs w:val="17"/>
      <w:shd w:val="clear" w:color="auto" w:fill="FFFFFF"/>
    </w:rPr>
  </w:style>
  <w:style w:type="character" w:customStyle="1" w:styleId="Textodocorpo46">
    <w:name w:val="Texto do corpo46"/>
    <w:rsid w:val="005761B6"/>
    <w:rPr>
      <w:rFonts w:ascii="Courier New" w:hAnsi="Courier New" w:cs="Courier New"/>
      <w:b w:val="0"/>
      <w:bCs w:val="0"/>
      <w:spacing w:val="0"/>
      <w:sz w:val="17"/>
      <w:szCs w:val="17"/>
      <w:shd w:val="clear" w:color="auto" w:fill="FFFFFF"/>
      <w:lang w:bidi="ar-SA"/>
    </w:rPr>
  </w:style>
  <w:style w:type="character" w:customStyle="1" w:styleId="Textodocorpo8pt8">
    <w:name w:val="Texto do corpo + 8 pt8"/>
    <w:rsid w:val="005761B6"/>
    <w:rPr>
      <w:rFonts w:ascii="Courier New" w:hAnsi="Courier New" w:cs="Courier New"/>
      <w:b w:val="0"/>
      <w:bCs w:val="0"/>
      <w:spacing w:val="0"/>
      <w:sz w:val="16"/>
      <w:szCs w:val="16"/>
      <w:shd w:val="clear" w:color="auto" w:fill="FFFFFF"/>
      <w:lang w:bidi="ar-SA"/>
    </w:rPr>
  </w:style>
  <w:style w:type="character" w:customStyle="1" w:styleId="FooterChar1">
    <w:name w:val="Footer Char1"/>
    <w:locked/>
    <w:rsid w:val="005761B6"/>
    <w:rPr>
      <w:sz w:val="24"/>
      <w:lang w:val="pl-PL" w:eastAsia="pl-PL"/>
    </w:rPr>
  </w:style>
  <w:style w:type="character" w:customStyle="1" w:styleId="Notaderodap2Semitlico21">
    <w:name w:val="Nota de rodapé (2) + Sem itálico21"/>
    <w:rsid w:val="005761B6"/>
    <w:rPr>
      <w:rFonts w:ascii="Times New Roman" w:hAnsi="Times New Roman" w:cs="Times New Roman"/>
      <w:i/>
      <w:iCs/>
      <w:spacing w:val="0"/>
      <w:sz w:val="16"/>
      <w:szCs w:val="16"/>
      <w:lang w:bidi="ar-SA"/>
    </w:rPr>
  </w:style>
  <w:style w:type="character" w:customStyle="1" w:styleId="Textodocorpo4Semitlico10">
    <w:name w:val="Texto do corpo (4) + Sem itálico10"/>
    <w:rsid w:val="005761B6"/>
    <w:rPr>
      <w:rFonts w:ascii="Times New Roman" w:hAnsi="Times New Roman" w:cs="Times New Roman"/>
      <w:spacing w:val="0"/>
      <w:sz w:val="16"/>
      <w:szCs w:val="16"/>
    </w:rPr>
  </w:style>
  <w:style w:type="character" w:customStyle="1" w:styleId="Textodocorpo8pt25">
    <w:name w:val="Texto do corpo + 8 pt25"/>
    <w:rsid w:val="005761B6"/>
    <w:rPr>
      <w:rFonts w:ascii="Times New Roman" w:hAnsi="Times New Roman" w:cs="Times New Roman"/>
      <w:spacing w:val="0"/>
      <w:sz w:val="16"/>
      <w:szCs w:val="16"/>
    </w:rPr>
  </w:style>
  <w:style w:type="character" w:customStyle="1" w:styleId="ZnakZnak11">
    <w:name w:val="Znak Znak11"/>
    <w:semiHidden/>
    <w:locked/>
    <w:rsid w:val="005761B6"/>
    <w:rPr>
      <w:lang w:val="pl-PL" w:eastAsia="pl-PL" w:bidi="ar-SA"/>
    </w:rPr>
  </w:style>
  <w:style w:type="character" w:customStyle="1" w:styleId="ZnakZnak25">
    <w:name w:val="Znak Znak25"/>
    <w:rsid w:val="005761B6"/>
    <w:rPr>
      <w:rFonts w:ascii="Arial" w:hAnsi="Arial" w:cs="Arial"/>
      <w:b/>
      <w:bCs/>
      <w:sz w:val="26"/>
      <w:szCs w:val="26"/>
      <w:lang w:val="pl-PL" w:eastAsia="pl-PL" w:bidi="ar-SA"/>
    </w:rPr>
  </w:style>
  <w:style w:type="character" w:customStyle="1" w:styleId="ZnakZnak24">
    <w:name w:val="Znak Znak24"/>
    <w:locked/>
    <w:rsid w:val="005761B6"/>
    <w:rPr>
      <w:b/>
      <w:bCs/>
      <w:sz w:val="28"/>
      <w:szCs w:val="28"/>
      <w:lang w:val="pl-PL" w:eastAsia="pl-PL" w:bidi="ar-SA"/>
    </w:rPr>
  </w:style>
  <w:style w:type="character" w:customStyle="1" w:styleId="ZnakZnak22">
    <w:name w:val="Znak Znak22"/>
    <w:rsid w:val="005761B6"/>
    <w:rPr>
      <w:rFonts w:ascii="Calibri" w:hAnsi="Calibri"/>
      <w:b/>
      <w:bCs/>
      <w:sz w:val="22"/>
      <w:szCs w:val="22"/>
      <w:lang w:val="pl-PL" w:eastAsia="pl-PL" w:bidi="ar-SA"/>
    </w:rPr>
  </w:style>
  <w:style w:type="character" w:customStyle="1" w:styleId="ZnakZnak23">
    <w:name w:val="Znak Znak23"/>
    <w:rsid w:val="005761B6"/>
    <w:rPr>
      <w:b/>
      <w:bCs/>
      <w:i/>
      <w:iCs/>
      <w:sz w:val="26"/>
      <w:szCs w:val="26"/>
      <w:lang w:val="pl-PL" w:eastAsia="pl-PL" w:bidi="ar-SA"/>
    </w:rPr>
  </w:style>
  <w:style w:type="table" w:styleId="Jasnecieniowanieakcent3">
    <w:name w:val="Light Shading Accent 3"/>
    <w:basedOn w:val="Standardowy"/>
    <w:rsid w:val="005761B6"/>
    <w:pPr>
      <w:spacing w:after="0" w:line="240" w:lineRule="auto"/>
    </w:pPr>
    <w:rPr>
      <w:rFonts w:ascii="Calibri" w:eastAsia="Calibri" w:hAnsi="Calibri" w:cs="Times New Roman"/>
      <w:color w:val="76923C"/>
      <w:lang w:eastAsia="pl-PL"/>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Akapitzlist13">
    <w:name w:val="Akapit z listą13"/>
    <w:basedOn w:val="Normalny"/>
    <w:rsid w:val="005761B6"/>
    <w:pPr>
      <w:spacing w:after="0" w:line="240" w:lineRule="auto"/>
      <w:ind w:left="720" w:firstLine="709"/>
      <w:contextualSpacing/>
    </w:pPr>
    <w:rPr>
      <w:rFonts w:ascii="Calibri" w:eastAsia="Times New Roman" w:hAnsi="Calibri" w:cs="Times New Roman"/>
    </w:rPr>
  </w:style>
  <w:style w:type="character" w:customStyle="1" w:styleId="edition">
    <w:name w:val="edition"/>
    <w:basedOn w:val="Domylnaczcionkaakapitu"/>
    <w:rsid w:val="005761B6"/>
  </w:style>
  <w:style w:type="character" w:styleId="HTML-kod">
    <w:name w:val="HTML Code"/>
    <w:rsid w:val="005761B6"/>
    <w:rPr>
      <w:rFonts w:ascii="Courier New" w:eastAsia="Times New Roman" w:hAnsi="Courier New" w:cs="Courier New"/>
      <w:sz w:val="20"/>
      <w:szCs w:val="20"/>
    </w:rPr>
  </w:style>
  <w:style w:type="paragraph" w:styleId="Poprawka">
    <w:name w:val="Revision"/>
    <w:hidden/>
    <w:uiPriority w:val="99"/>
    <w:semiHidden/>
    <w:rsid w:val="005761B6"/>
    <w:pPr>
      <w:spacing w:after="0" w:line="240" w:lineRule="auto"/>
    </w:pPr>
    <w:rPr>
      <w:rFonts w:ascii="Times New Roman" w:eastAsia="Times New Roman" w:hAnsi="Times New Roman" w:cs="Times New Roman"/>
      <w:sz w:val="24"/>
      <w:szCs w:val="24"/>
      <w:lang w:eastAsia="pl-PL"/>
    </w:rPr>
  </w:style>
  <w:style w:type="paragraph" w:customStyle="1" w:styleId="compositeinner">
    <w:name w:val="compositeinner"/>
    <w:basedOn w:val="Normalny"/>
    <w:rsid w:val="005761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skgd1">
    <w:name w:val="skgd1"/>
    <w:basedOn w:val="Domylnaczcionkaakapitu"/>
    <w:rsid w:val="005761B6"/>
  </w:style>
  <w:style w:type="paragraph" w:customStyle="1" w:styleId="Zwyczajny">
    <w:name w:val="Zwyczajny"/>
    <w:basedOn w:val="Normalny"/>
    <w:rsid w:val="005761B6"/>
    <w:pPr>
      <w:spacing w:after="0" w:line="360" w:lineRule="atLeast"/>
      <w:ind w:firstLine="567"/>
      <w:jc w:val="both"/>
    </w:pPr>
    <w:rPr>
      <w:rFonts w:ascii="Times New Roman" w:eastAsia="Times New Roman" w:hAnsi="Times New Roman" w:cs="Times New Roman"/>
      <w:spacing w:val="-6"/>
      <w:kern w:val="24"/>
      <w:sz w:val="24"/>
      <w:szCs w:val="20"/>
      <w:lang w:eastAsia="pl-PL"/>
    </w:rPr>
  </w:style>
  <w:style w:type="paragraph" w:customStyle="1" w:styleId="xl24">
    <w:name w:val="xl24"/>
    <w:basedOn w:val="Normalny"/>
    <w:rsid w:val="005761B6"/>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25">
    <w:name w:val="xl25"/>
    <w:basedOn w:val="Normalny"/>
    <w:rsid w:val="005761B6"/>
    <w:pPr>
      <w:pBdr>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26">
    <w:name w:val="xl26"/>
    <w:basedOn w:val="Normalny"/>
    <w:rsid w:val="005761B6"/>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27">
    <w:name w:val="xl27"/>
    <w:basedOn w:val="Normalny"/>
    <w:rsid w:val="005761B6"/>
    <w:pPr>
      <w:pBdr>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28">
    <w:name w:val="xl28"/>
    <w:basedOn w:val="Normalny"/>
    <w:rsid w:val="005761B6"/>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29">
    <w:name w:val="xl29"/>
    <w:basedOn w:val="Normalny"/>
    <w:rsid w:val="005761B6"/>
    <w:pPr>
      <w:shd w:val="clear" w:color="auto" w:fill="FFFFFF"/>
      <w:spacing w:before="100" w:beforeAutospacing="1" w:after="100" w:afterAutospacing="1" w:line="240" w:lineRule="auto"/>
    </w:pPr>
    <w:rPr>
      <w:rFonts w:ascii="Times New Roman" w:eastAsia="Times New Roman" w:hAnsi="Times New Roman" w:cs="Times New Roman"/>
      <w:b/>
      <w:bCs/>
      <w:lang w:eastAsia="pl-PL"/>
    </w:rPr>
  </w:style>
  <w:style w:type="paragraph" w:customStyle="1" w:styleId="xl30">
    <w:name w:val="xl30"/>
    <w:basedOn w:val="Normalny"/>
    <w:rsid w:val="005761B6"/>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31">
    <w:name w:val="xl31"/>
    <w:basedOn w:val="Normalny"/>
    <w:rsid w:val="005761B6"/>
    <w:pPr>
      <w:pBdr>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32">
    <w:name w:val="xl32"/>
    <w:basedOn w:val="Normalny"/>
    <w:rsid w:val="005761B6"/>
    <w:pPr>
      <w:pBdr>
        <w:top w:val="single" w:sz="4" w:space="0" w:color="auto"/>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33">
    <w:name w:val="xl33"/>
    <w:basedOn w:val="Normalny"/>
    <w:rsid w:val="005761B6"/>
    <w:pPr>
      <w:pBdr>
        <w:top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34">
    <w:name w:val="xl34"/>
    <w:basedOn w:val="Normalny"/>
    <w:rsid w:val="005761B6"/>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35">
    <w:name w:val="xl35"/>
    <w:basedOn w:val="Normalny"/>
    <w:rsid w:val="005761B6"/>
    <w:pPr>
      <w:pBdr>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b/>
      <w:bCs/>
      <w:lang w:eastAsia="pl-PL"/>
    </w:rPr>
  </w:style>
  <w:style w:type="paragraph" w:customStyle="1" w:styleId="xl36">
    <w:name w:val="xl36"/>
    <w:basedOn w:val="Normalny"/>
    <w:rsid w:val="005761B6"/>
    <w:pPr>
      <w:pBdr>
        <w:top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37">
    <w:name w:val="xl37"/>
    <w:basedOn w:val="Normalny"/>
    <w:rsid w:val="005761B6"/>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38">
    <w:name w:val="xl38"/>
    <w:basedOn w:val="Normalny"/>
    <w:rsid w:val="005761B6"/>
    <w:pPr>
      <w:pBdr>
        <w:top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39">
    <w:name w:val="xl39"/>
    <w:basedOn w:val="Normalny"/>
    <w:rsid w:val="005761B6"/>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40">
    <w:name w:val="xl40"/>
    <w:basedOn w:val="Normalny"/>
    <w:rsid w:val="005761B6"/>
    <w:pPr>
      <w:pBdr>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41">
    <w:name w:val="xl41"/>
    <w:basedOn w:val="Normalny"/>
    <w:rsid w:val="005761B6"/>
    <w:pPr>
      <w:pBdr>
        <w:bottom w:val="double" w:sz="6"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42">
    <w:name w:val="xl42"/>
    <w:basedOn w:val="Normalny"/>
    <w:rsid w:val="005761B6"/>
    <w:pPr>
      <w:pBdr>
        <w:top w:val="single" w:sz="4" w:space="0" w:color="auto"/>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43">
    <w:name w:val="xl43"/>
    <w:basedOn w:val="Normalny"/>
    <w:rsid w:val="005761B6"/>
    <w:pPr>
      <w:pBdr>
        <w:top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44">
    <w:name w:val="xl44"/>
    <w:basedOn w:val="Normalny"/>
    <w:rsid w:val="005761B6"/>
    <w:pPr>
      <w:pBdr>
        <w:top w:val="single" w:sz="4" w:space="0" w:color="auto"/>
        <w:left w:val="single" w:sz="4" w:space="0" w:color="auto"/>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45">
    <w:name w:val="xl45"/>
    <w:basedOn w:val="Normalny"/>
    <w:rsid w:val="005761B6"/>
    <w:pPr>
      <w:pBdr>
        <w:top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46">
    <w:name w:val="xl46"/>
    <w:basedOn w:val="Normalny"/>
    <w:rsid w:val="005761B6"/>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lang w:eastAsia="pl-PL"/>
    </w:rPr>
  </w:style>
  <w:style w:type="paragraph" w:customStyle="1" w:styleId="xl47">
    <w:name w:val="xl47"/>
    <w:basedOn w:val="Normalny"/>
    <w:rsid w:val="005761B6"/>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48">
    <w:name w:val="xl48"/>
    <w:basedOn w:val="Normalny"/>
    <w:rsid w:val="005761B6"/>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49">
    <w:name w:val="xl49"/>
    <w:basedOn w:val="Normalny"/>
    <w:rsid w:val="005761B6"/>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i/>
      <w:iCs/>
      <w:sz w:val="24"/>
      <w:szCs w:val="24"/>
      <w:lang w:eastAsia="pl-PL"/>
    </w:rPr>
  </w:style>
  <w:style w:type="paragraph" w:customStyle="1" w:styleId="xl50">
    <w:name w:val="xl50"/>
    <w:basedOn w:val="Normalny"/>
    <w:rsid w:val="005761B6"/>
    <w:pPr>
      <w:pBdr>
        <w:left w:val="single" w:sz="4"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51">
    <w:name w:val="xl51"/>
    <w:basedOn w:val="Normalny"/>
    <w:rsid w:val="005761B6"/>
    <w:pPr>
      <w:pBdr>
        <w:left w:val="single" w:sz="4"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52">
    <w:name w:val="xl52"/>
    <w:basedOn w:val="Normalny"/>
    <w:rsid w:val="005761B6"/>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color w:val="FF0000"/>
      <w:sz w:val="18"/>
      <w:szCs w:val="18"/>
      <w:lang w:eastAsia="pl-PL"/>
    </w:rPr>
  </w:style>
  <w:style w:type="paragraph" w:customStyle="1" w:styleId="xl53">
    <w:name w:val="xl53"/>
    <w:basedOn w:val="Normalny"/>
    <w:rsid w:val="005761B6"/>
    <w:pPr>
      <w:pBdr>
        <w:lef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pl-PL"/>
    </w:rPr>
  </w:style>
  <w:style w:type="paragraph" w:customStyle="1" w:styleId="xl54">
    <w:name w:val="xl54"/>
    <w:basedOn w:val="Normalny"/>
    <w:rsid w:val="005761B6"/>
    <w:pPr>
      <w:shd w:val="clear" w:color="auto" w:fill="FFFFFF"/>
      <w:spacing w:before="100" w:beforeAutospacing="1" w:after="100" w:afterAutospacing="1" w:line="240" w:lineRule="auto"/>
      <w:jc w:val="center"/>
    </w:pPr>
    <w:rPr>
      <w:rFonts w:ascii="Times New Roman" w:eastAsia="Times New Roman" w:hAnsi="Times New Roman" w:cs="Times New Roman"/>
      <w:b/>
      <w:bCs/>
      <w:color w:val="0000FF"/>
      <w:sz w:val="24"/>
      <w:szCs w:val="24"/>
      <w:lang w:eastAsia="pl-PL"/>
    </w:rPr>
  </w:style>
  <w:style w:type="paragraph" w:customStyle="1" w:styleId="xl55">
    <w:name w:val="xl55"/>
    <w:basedOn w:val="Normalny"/>
    <w:rsid w:val="005761B6"/>
    <w:pPr>
      <w:pBdr>
        <w:left w:val="single" w:sz="4" w:space="0" w:color="auto"/>
        <w:bottom w:val="double" w:sz="6"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56">
    <w:name w:val="xl56"/>
    <w:basedOn w:val="Normalny"/>
    <w:rsid w:val="005761B6"/>
    <w:pPr>
      <w:pBdr>
        <w:lef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b/>
      <w:bCs/>
      <w:color w:val="0000FF"/>
      <w:lang w:eastAsia="pl-PL"/>
    </w:rPr>
  </w:style>
  <w:style w:type="paragraph" w:customStyle="1" w:styleId="xl57">
    <w:name w:val="xl57"/>
    <w:basedOn w:val="Normalny"/>
    <w:rsid w:val="005761B6"/>
    <w:pPr>
      <w:shd w:val="clear" w:color="auto" w:fill="FFFF99"/>
      <w:spacing w:before="100" w:beforeAutospacing="1" w:after="100" w:afterAutospacing="1" w:line="240" w:lineRule="auto"/>
    </w:pPr>
    <w:rPr>
      <w:rFonts w:ascii="Times New Roman" w:eastAsia="Times New Roman" w:hAnsi="Times New Roman" w:cs="Times New Roman"/>
      <w:b/>
      <w:bCs/>
      <w:color w:val="0000FF"/>
      <w:lang w:eastAsia="pl-PL"/>
    </w:rPr>
  </w:style>
  <w:style w:type="paragraph" w:customStyle="1" w:styleId="xl58">
    <w:name w:val="xl58"/>
    <w:basedOn w:val="Normalny"/>
    <w:rsid w:val="005761B6"/>
    <w:pPr>
      <w:pBdr>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b/>
      <w:bCs/>
      <w:color w:val="0000FF"/>
      <w:lang w:eastAsia="pl-PL"/>
    </w:rPr>
  </w:style>
  <w:style w:type="paragraph" w:customStyle="1" w:styleId="xl59">
    <w:name w:val="xl59"/>
    <w:basedOn w:val="Normalny"/>
    <w:rsid w:val="005761B6"/>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0">
    <w:name w:val="xl60"/>
    <w:basedOn w:val="Normalny"/>
    <w:rsid w:val="005761B6"/>
    <w:pPr>
      <w:shd w:val="clear" w:color="auto" w:fill="FFFFFF"/>
      <w:spacing w:before="100" w:beforeAutospacing="1" w:after="100" w:afterAutospacing="1" w:line="240" w:lineRule="auto"/>
      <w:jc w:val="right"/>
    </w:pPr>
    <w:rPr>
      <w:rFonts w:ascii="Times New Roman" w:eastAsia="Times New Roman" w:hAnsi="Times New Roman" w:cs="Times New Roman"/>
      <w:b/>
      <w:bCs/>
      <w:sz w:val="24"/>
      <w:szCs w:val="24"/>
      <w:lang w:eastAsia="pl-PL"/>
    </w:rPr>
  </w:style>
  <w:style w:type="paragraph" w:customStyle="1" w:styleId="xl61">
    <w:name w:val="xl61"/>
    <w:basedOn w:val="Normalny"/>
    <w:rsid w:val="005761B6"/>
    <w:pPr>
      <w:pBdr>
        <w:top w:val="single" w:sz="4" w:space="0" w:color="auto"/>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62">
    <w:name w:val="xl62"/>
    <w:basedOn w:val="Normalny"/>
    <w:rsid w:val="005761B6"/>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wypunkt">
    <w:name w:val="wypunkt"/>
    <w:basedOn w:val="Normalny"/>
    <w:rsid w:val="005761B6"/>
    <w:pPr>
      <w:spacing w:after="0" w:line="280" w:lineRule="atLeast"/>
      <w:ind w:left="720" w:hanging="360"/>
      <w:jc w:val="both"/>
    </w:pPr>
    <w:rPr>
      <w:rFonts w:ascii="Times New Roman" w:eastAsia="Times New Roman" w:hAnsi="Times New Roman" w:cs="Times New Roman"/>
      <w:sz w:val="24"/>
      <w:szCs w:val="20"/>
      <w:lang w:eastAsia="pl-PL"/>
    </w:rPr>
  </w:style>
  <w:style w:type="paragraph" w:customStyle="1" w:styleId="Styl1">
    <w:name w:val="Styl1"/>
    <w:basedOn w:val="Tekstpodstawowy"/>
    <w:next w:val="Tekstpodstawowy"/>
    <w:autoRedefine/>
    <w:rsid w:val="005761B6"/>
    <w:pPr>
      <w:tabs>
        <w:tab w:val="left" w:pos="357"/>
      </w:tabs>
      <w:spacing w:after="0" w:line="360" w:lineRule="atLeast"/>
      <w:jc w:val="both"/>
    </w:pPr>
    <w:rPr>
      <w:b/>
      <w:szCs w:val="20"/>
    </w:rPr>
  </w:style>
  <w:style w:type="paragraph" w:customStyle="1" w:styleId="Bezodstpw2">
    <w:name w:val="Bez odstępów2"/>
    <w:rsid w:val="005761B6"/>
    <w:pPr>
      <w:spacing w:after="0" w:line="240" w:lineRule="auto"/>
      <w:ind w:left="357"/>
      <w:jc w:val="both"/>
    </w:pPr>
    <w:rPr>
      <w:rFonts w:ascii="Times New Roman" w:eastAsia="Times New Roman" w:hAnsi="Times New Roman" w:cs="Times New Roman"/>
    </w:rPr>
  </w:style>
  <w:style w:type="paragraph" w:customStyle="1" w:styleId="Akapitzlist2">
    <w:name w:val="Akapit z listą2"/>
    <w:basedOn w:val="Normalny"/>
    <w:rsid w:val="005761B6"/>
    <w:pPr>
      <w:spacing w:after="200" w:line="276" w:lineRule="auto"/>
      <w:ind w:left="720"/>
    </w:pPr>
    <w:rPr>
      <w:rFonts w:ascii="Times New Roman" w:eastAsia="Times New Roman" w:hAnsi="Times New Roman" w:cs="Times New Roman"/>
      <w:lang w:eastAsia="pl-PL"/>
    </w:rPr>
  </w:style>
  <w:style w:type="paragraph" w:styleId="Spistreci5">
    <w:name w:val="toc 5"/>
    <w:basedOn w:val="Normalny"/>
    <w:next w:val="Normalny"/>
    <w:autoRedefine/>
    <w:semiHidden/>
    <w:rsid w:val="005761B6"/>
    <w:pPr>
      <w:spacing w:after="0" w:line="240" w:lineRule="auto"/>
      <w:ind w:left="800"/>
    </w:pPr>
    <w:rPr>
      <w:rFonts w:ascii="Times New Roman" w:eastAsia="Times New Roman" w:hAnsi="Times New Roman" w:cs="Times New Roman"/>
      <w:sz w:val="18"/>
      <w:szCs w:val="20"/>
      <w:lang w:eastAsia="pl-PL"/>
    </w:rPr>
  </w:style>
  <w:style w:type="paragraph" w:styleId="Spistreci4">
    <w:name w:val="toc 4"/>
    <w:basedOn w:val="Normalny"/>
    <w:next w:val="Normalny"/>
    <w:autoRedefine/>
    <w:semiHidden/>
    <w:rsid w:val="005761B6"/>
    <w:pPr>
      <w:spacing w:after="0" w:line="240" w:lineRule="auto"/>
      <w:ind w:left="600"/>
    </w:pPr>
    <w:rPr>
      <w:rFonts w:ascii="Times New Roman" w:eastAsia="Times New Roman" w:hAnsi="Times New Roman" w:cs="Times New Roman"/>
      <w:sz w:val="18"/>
      <w:szCs w:val="20"/>
      <w:lang w:eastAsia="pl-PL"/>
    </w:rPr>
  </w:style>
  <w:style w:type="paragraph" w:styleId="Spistreci6">
    <w:name w:val="toc 6"/>
    <w:basedOn w:val="Normalny"/>
    <w:next w:val="Normalny"/>
    <w:autoRedefine/>
    <w:semiHidden/>
    <w:rsid w:val="005761B6"/>
    <w:pPr>
      <w:spacing w:after="0" w:line="240" w:lineRule="auto"/>
      <w:ind w:left="1000"/>
    </w:pPr>
    <w:rPr>
      <w:rFonts w:ascii="Times New Roman" w:eastAsia="Times New Roman" w:hAnsi="Times New Roman" w:cs="Times New Roman"/>
      <w:sz w:val="18"/>
      <w:szCs w:val="20"/>
      <w:lang w:eastAsia="pl-PL"/>
    </w:rPr>
  </w:style>
  <w:style w:type="paragraph" w:styleId="Spistreci7">
    <w:name w:val="toc 7"/>
    <w:basedOn w:val="Normalny"/>
    <w:next w:val="Normalny"/>
    <w:autoRedefine/>
    <w:semiHidden/>
    <w:rsid w:val="005761B6"/>
    <w:pPr>
      <w:spacing w:after="0" w:line="240" w:lineRule="auto"/>
      <w:ind w:left="1200"/>
    </w:pPr>
    <w:rPr>
      <w:rFonts w:ascii="Times New Roman" w:eastAsia="Times New Roman" w:hAnsi="Times New Roman" w:cs="Times New Roman"/>
      <w:sz w:val="18"/>
      <w:szCs w:val="20"/>
      <w:lang w:eastAsia="pl-PL"/>
    </w:rPr>
  </w:style>
  <w:style w:type="paragraph" w:styleId="Spistreci8">
    <w:name w:val="toc 8"/>
    <w:basedOn w:val="Normalny"/>
    <w:next w:val="Normalny"/>
    <w:autoRedefine/>
    <w:semiHidden/>
    <w:rsid w:val="005761B6"/>
    <w:pPr>
      <w:spacing w:after="0" w:line="240" w:lineRule="auto"/>
      <w:ind w:left="1400"/>
    </w:pPr>
    <w:rPr>
      <w:rFonts w:ascii="Times New Roman" w:eastAsia="Times New Roman" w:hAnsi="Times New Roman" w:cs="Times New Roman"/>
      <w:sz w:val="18"/>
      <w:szCs w:val="20"/>
      <w:lang w:eastAsia="pl-PL"/>
    </w:rPr>
  </w:style>
  <w:style w:type="paragraph" w:styleId="Spistreci9">
    <w:name w:val="toc 9"/>
    <w:basedOn w:val="Normalny"/>
    <w:next w:val="Normalny"/>
    <w:autoRedefine/>
    <w:semiHidden/>
    <w:rsid w:val="005761B6"/>
    <w:pPr>
      <w:spacing w:after="0" w:line="240" w:lineRule="auto"/>
      <w:ind w:left="1600"/>
    </w:pPr>
    <w:rPr>
      <w:rFonts w:ascii="Times New Roman" w:eastAsia="Times New Roman" w:hAnsi="Times New Roman" w:cs="Times New Roman"/>
      <w:sz w:val="18"/>
      <w:szCs w:val="20"/>
      <w:lang w:eastAsia="pl-PL"/>
    </w:rPr>
  </w:style>
  <w:style w:type="paragraph" w:styleId="Spisilustracji">
    <w:name w:val="table of figures"/>
    <w:basedOn w:val="Normalny"/>
    <w:next w:val="Normalny"/>
    <w:semiHidden/>
    <w:rsid w:val="005761B6"/>
    <w:pPr>
      <w:spacing w:after="0" w:line="240" w:lineRule="auto"/>
      <w:ind w:left="400" w:hanging="400"/>
    </w:pPr>
    <w:rPr>
      <w:rFonts w:ascii="Times New Roman" w:eastAsia="Times New Roman" w:hAnsi="Times New Roman" w:cs="Times New Roman"/>
      <w:sz w:val="20"/>
      <w:szCs w:val="20"/>
      <w:lang w:eastAsia="pl-PL"/>
    </w:rPr>
  </w:style>
  <w:style w:type="character" w:customStyle="1" w:styleId="content">
    <w:name w:val="content"/>
    <w:basedOn w:val="Domylnaczcionkaakapitu"/>
    <w:rsid w:val="005761B6"/>
  </w:style>
  <w:style w:type="paragraph" w:customStyle="1" w:styleId="Pa13">
    <w:name w:val="Pa13"/>
    <w:basedOn w:val="Default"/>
    <w:next w:val="Default"/>
    <w:uiPriority w:val="99"/>
    <w:rsid w:val="00EF1A17"/>
    <w:pPr>
      <w:spacing w:line="211" w:lineRule="atLeast"/>
    </w:pPr>
    <w:rPr>
      <w:rFonts w:ascii="Franklin Gothic Heavy" w:hAnsi="Franklin Gothic Heavy" w:cstheme="minorBidi"/>
      <w:color w:val="auto"/>
    </w:rPr>
  </w:style>
  <w:style w:type="paragraph" w:customStyle="1" w:styleId="Pa12">
    <w:name w:val="Pa12"/>
    <w:basedOn w:val="Default"/>
    <w:next w:val="Default"/>
    <w:uiPriority w:val="99"/>
    <w:rsid w:val="00EF1A17"/>
    <w:pPr>
      <w:spacing w:line="201" w:lineRule="atLeast"/>
    </w:pPr>
    <w:rPr>
      <w:rFonts w:ascii="Franklin Gothic Heavy" w:hAnsi="Franklin Gothic Heavy" w:cstheme="minorBidi"/>
      <w:color w:val="auto"/>
    </w:rPr>
  </w:style>
  <w:style w:type="paragraph" w:customStyle="1" w:styleId="Pa120">
    <w:name w:val="Pa1_2"/>
    <w:basedOn w:val="Default"/>
    <w:next w:val="Default"/>
    <w:uiPriority w:val="99"/>
    <w:rsid w:val="00EF1A17"/>
    <w:pPr>
      <w:spacing w:line="201" w:lineRule="atLeast"/>
    </w:pPr>
    <w:rPr>
      <w:rFonts w:ascii="Book Antiqua" w:hAnsi="Book Antiqua" w:cstheme="minorBidi"/>
      <w:color w:val="auto"/>
    </w:rPr>
  </w:style>
  <w:style w:type="paragraph" w:customStyle="1" w:styleId="Pa18">
    <w:name w:val="Pa18"/>
    <w:basedOn w:val="Default"/>
    <w:next w:val="Default"/>
    <w:uiPriority w:val="99"/>
    <w:rsid w:val="00EF1A17"/>
    <w:pPr>
      <w:spacing w:line="237" w:lineRule="atLeast"/>
    </w:pPr>
    <w:rPr>
      <w:rFonts w:ascii="Franklin Gothic Heavy" w:hAnsi="Franklin Gothic Heavy" w:cstheme="minorBidi"/>
      <w:color w:val="auto"/>
    </w:rPr>
  </w:style>
  <w:style w:type="paragraph" w:customStyle="1" w:styleId="Pa28">
    <w:name w:val="Pa28"/>
    <w:basedOn w:val="Default"/>
    <w:next w:val="Default"/>
    <w:uiPriority w:val="99"/>
    <w:rsid w:val="00EF1A17"/>
    <w:pPr>
      <w:spacing w:line="161" w:lineRule="atLeast"/>
    </w:pPr>
    <w:rPr>
      <w:rFonts w:ascii="Myriad Pro" w:hAnsi="Myriad Pro" w:cstheme="minorBidi"/>
      <w:color w:val="auto"/>
    </w:rPr>
  </w:style>
  <w:style w:type="paragraph" w:customStyle="1" w:styleId="Pa27">
    <w:name w:val="Pa27"/>
    <w:basedOn w:val="Default"/>
    <w:next w:val="Default"/>
    <w:uiPriority w:val="99"/>
    <w:rsid w:val="00EF1A17"/>
    <w:pPr>
      <w:spacing w:line="161" w:lineRule="atLeast"/>
    </w:pPr>
    <w:rPr>
      <w:rFonts w:ascii="Myriad Pro Light" w:hAnsi="Myriad Pro Light" w:cstheme="minorBidi"/>
      <w:color w:val="auto"/>
    </w:rPr>
  </w:style>
  <w:style w:type="numbering" w:customStyle="1" w:styleId="Bezlisty1">
    <w:name w:val="Bez listy1"/>
    <w:next w:val="Bezlisty"/>
    <w:uiPriority w:val="99"/>
    <w:semiHidden/>
    <w:unhideWhenUsed/>
    <w:rsid w:val="008C584A"/>
  </w:style>
  <w:style w:type="table" w:customStyle="1" w:styleId="Tabela-Siatka1">
    <w:name w:val="Tabela - Siatka1"/>
    <w:basedOn w:val="Standardowy"/>
    <w:next w:val="Tabela-Siatka"/>
    <w:rsid w:val="008C584A"/>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JNormalny">
    <w:name w:val="EJ Normalny"/>
    <w:basedOn w:val="Normalny"/>
    <w:qFormat/>
    <w:rsid w:val="00362AF9"/>
    <w:pPr>
      <w:spacing w:after="0" w:line="276" w:lineRule="auto"/>
      <w:ind w:firstLine="567"/>
      <w:jc w:val="both"/>
    </w:pPr>
    <w:rPr>
      <w:rFonts w:ascii="Cambria" w:eastAsia="Times New Roman" w:hAnsi="Cambria" w:cs="Times New Roman"/>
      <w:color w:val="000000" w:themeColor="text1"/>
      <w:sz w:val="24"/>
      <w:szCs w:val="24"/>
      <w:lang w:eastAsia="pl-PL"/>
    </w:rPr>
  </w:style>
  <w:style w:type="paragraph" w:customStyle="1" w:styleId="paragraph">
    <w:name w:val="paragraph"/>
    <w:basedOn w:val="Normalny"/>
    <w:rsid w:val="007969E0"/>
    <w:pPr>
      <w:spacing w:before="100" w:beforeAutospacing="1" w:after="100" w:afterAutospacing="1" w:line="240" w:lineRule="auto"/>
      <w:jc w:val="both"/>
      <w:textAlignment w:val="baseline"/>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8054234">
      <w:bodyDiv w:val="1"/>
      <w:marLeft w:val="0"/>
      <w:marRight w:val="0"/>
      <w:marTop w:val="0"/>
      <w:marBottom w:val="0"/>
      <w:divBdr>
        <w:top w:val="none" w:sz="0" w:space="0" w:color="auto"/>
        <w:left w:val="none" w:sz="0" w:space="0" w:color="auto"/>
        <w:bottom w:val="none" w:sz="0" w:space="0" w:color="auto"/>
        <w:right w:val="none" w:sz="0" w:space="0" w:color="auto"/>
      </w:divBdr>
      <w:divsChild>
        <w:div w:id="1495758178">
          <w:marLeft w:val="360"/>
          <w:marRight w:val="0"/>
          <w:marTop w:val="200"/>
          <w:marBottom w:val="0"/>
          <w:divBdr>
            <w:top w:val="none" w:sz="0" w:space="0" w:color="auto"/>
            <w:left w:val="none" w:sz="0" w:space="0" w:color="auto"/>
            <w:bottom w:val="none" w:sz="0" w:space="0" w:color="auto"/>
            <w:right w:val="none" w:sz="0" w:space="0" w:color="auto"/>
          </w:divBdr>
        </w:div>
        <w:div w:id="349113670">
          <w:marLeft w:val="360"/>
          <w:marRight w:val="0"/>
          <w:marTop w:val="200"/>
          <w:marBottom w:val="0"/>
          <w:divBdr>
            <w:top w:val="none" w:sz="0" w:space="0" w:color="auto"/>
            <w:left w:val="none" w:sz="0" w:space="0" w:color="auto"/>
            <w:bottom w:val="none" w:sz="0" w:space="0" w:color="auto"/>
            <w:right w:val="none" w:sz="0" w:space="0" w:color="auto"/>
          </w:divBdr>
        </w:div>
        <w:div w:id="306861326">
          <w:marLeft w:val="360"/>
          <w:marRight w:val="0"/>
          <w:marTop w:val="200"/>
          <w:marBottom w:val="0"/>
          <w:divBdr>
            <w:top w:val="none" w:sz="0" w:space="0" w:color="auto"/>
            <w:left w:val="none" w:sz="0" w:space="0" w:color="auto"/>
            <w:bottom w:val="none" w:sz="0" w:space="0" w:color="auto"/>
            <w:right w:val="none" w:sz="0" w:space="0" w:color="auto"/>
          </w:divBdr>
        </w:div>
        <w:div w:id="1272737946">
          <w:marLeft w:val="360"/>
          <w:marRight w:val="0"/>
          <w:marTop w:val="200"/>
          <w:marBottom w:val="0"/>
          <w:divBdr>
            <w:top w:val="none" w:sz="0" w:space="0" w:color="auto"/>
            <w:left w:val="none" w:sz="0" w:space="0" w:color="auto"/>
            <w:bottom w:val="none" w:sz="0" w:space="0" w:color="auto"/>
            <w:right w:val="none" w:sz="0" w:space="0" w:color="auto"/>
          </w:divBdr>
        </w:div>
        <w:div w:id="687952108">
          <w:marLeft w:val="360"/>
          <w:marRight w:val="0"/>
          <w:marTop w:val="200"/>
          <w:marBottom w:val="0"/>
          <w:divBdr>
            <w:top w:val="none" w:sz="0" w:space="0" w:color="auto"/>
            <w:left w:val="none" w:sz="0" w:space="0" w:color="auto"/>
            <w:bottom w:val="none" w:sz="0" w:space="0" w:color="auto"/>
            <w:right w:val="none" w:sz="0" w:space="0" w:color="auto"/>
          </w:divBdr>
        </w:div>
        <w:div w:id="793521091">
          <w:marLeft w:val="360"/>
          <w:marRight w:val="0"/>
          <w:marTop w:val="200"/>
          <w:marBottom w:val="0"/>
          <w:divBdr>
            <w:top w:val="none" w:sz="0" w:space="0" w:color="auto"/>
            <w:left w:val="none" w:sz="0" w:space="0" w:color="auto"/>
            <w:bottom w:val="none" w:sz="0" w:space="0" w:color="auto"/>
            <w:right w:val="none" w:sz="0" w:space="0" w:color="auto"/>
          </w:divBdr>
        </w:div>
      </w:divsChild>
    </w:div>
    <w:div w:id="1591505101">
      <w:bodyDiv w:val="1"/>
      <w:marLeft w:val="0"/>
      <w:marRight w:val="0"/>
      <w:marTop w:val="0"/>
      <w:marBottom w:val="0"/>
      <w:divBdr>
        <w:top w:val="none" w:sz="0" w:space="0" w:color="auto"/>
        <w:left w:val="none" w:sz="0" w:space="0" w:color="auto"/>
        <w:bottom w:val="none" w:sz="0" w:space="0" w:color="auto"/>
        <w:right w:val="none" w:sz="0" w:space="0" w:color="auto"/>
      </w:divBdr>
    </w:div>
    <w:div w:id="1593735372">
      <w:bodyDiv w:val="1"/>
      <w:marLeft w:val="0"/>
      <w:marRight w:val="0"/>
      <w:marTop w:val="0"/>
      <w:marBottom w:val="0"/>
      <w:divBdr>
        <w:top w:val="none" w:sz="0" w:space="0" w:color="auto"/>
        <w:left w:val="none" w:sz="0" w:space="0" w:color="auto"/>
        <w:bottom w:val="none" w:sz="0" w:space="0" w:color="auto"/>
        <w:right w:val="none" w:sz="0" w:space="0" w:color="auto"/>
      </w:divBdr>
    </w:div>
    <w:div w:id="1736509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chart" Target="charts/chart2.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header" Target="header4.xml"/><Relationship Id="rId42" Type="http://schemas.openxmlformats.org/officeDocument/2006/relationships/chart" Target="charts/chart10.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eader" Target="header3.xml"/><Relationship Id="rId25" Type="http://schemas.openxmlformats.org/officeDocument/2006/relationships/chart" Target="charts/chart1.xml"/><Relationship Id="rId33" Type="http://schemas.openxmlformats.org/officeDocument/2006/relationships/chart" Target="charts/chart9.xml"/><Relationship Id="rId38" Type="http://schemas.openxmlformats.org/officeDocument/2006/relationships/header" Target="header6.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https://wody.gios.gov.pl/pjwp/api/publications/media/515%20dost&#281;p%2015.10.2022" TargetMode="External"/><Relationship Id="rId29" Type="http://schemas.openxmlformats.org/officeDocument/2006/relationships/chart" Target="charts/chart5.xml"/><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8.emf"/><Relationship Id="rId32" Type="http://schemas.openxmlformats.org/officeDocument/2006/relationships/chart" Target="charts/chart8.xml"/><Relationship Id="rId37" Type="http://schemas.openxmlformats.org/officeDocument/2006/relationships/footer" Target="footer5.xml"/><Relationship Id="rId40" Type="http://schemas.openxmlformats.org/officeDocument/2006/relationships/footer" Target="footer7.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chart" Target="charts/chart4.xml"/><Relationship Id="rId36"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hyperlink" Target="https://crfop.gdos.gov.pl/CRFOP/" TargetMode="External"/><Relationship Id="rId31" Type="http://schemas.openxmlformats.org/officeDocument/2006/relationships/chart" Target="charts/chart7.xml"/><Relationship Id="rId44"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yperlink" Target="https://www.gov.pl/web/fundusze-regiony/strategia-rozwoju-krok-po-kroku--podrecznik-dla-gmin" TargetMode="External"/><Relationship Id="rId14" Type="http://schemas.openxmlformats.org/officeDocument/2006/relationships/header" Target="header2.xml"/><Relationship Id="rId22" Type="http://schemas.openxmlformats.org/officeDocument/2006/relationships/image" Target="media/image6.emf"/><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header" Target="header5.xml"/><Relationship Id="rId43" Type="http://schemas.openxmlformats.org/officeDocument/2006/relationships/footer" Target="footer9.xml"/></Relationships>
</file>

<file path=word/charts/_rels/chart1.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jacek\Opracowania\G&#243;ra%20Kalwaria\2022\Prognoza%20WPF%20Gora%20Kalwaria.xls" TargetMode="External"/><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jacek\Opracowania\G&#243;ra%20Kalwaria\2022\Analizy%20historyczne%20G&#243;ra%20Kalwaria%20do%20strategii.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jacek\Opracowania\G&#243;ra%20Kalwaria\2022\Analizy%20historyczne%20G&#243;ra%20Kalwaria%20do%20strategii.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jacek\Opracowania\G&#243;ra%20Kalwaria\2022\Analizy%20historyczne%20G&#243;ra%20Kalwaria%20do%20strategii.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jacek\Opracowania\G&#243;ra%20Kalwaria\2022\Analizy%20historyczne%20G&#243;ra%20Kalwaria%20do%20strategii.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99041533546327"/>
          <c:y val="7.2435480880875036E-2"/>
          <c:w val="0.80670926517571884"/>
          <c:h val="0.70144971655494737"/>
        </c:manualLayout>
      </c:layout>
      <c:lineChart>
        <c:grouping val="standard"/>
        <c:varyColors val="0"/>
        <c:ser>
          <c:idx val="0"/>
          <c:order val="0"/>
          <c:tx>
            <c:strRef>
              <c:f>'Wykresy 2016-2021'!$A$100</c:f>
              <c:strCache>
                <c:ptCount val="1"/>
                <c:pt idx="0">
                  <c:v>ceny bieżace</c:v>
                </c:pt>
              </c:strCache>
            </c:strRef>
          </c:tx>
          <c:spPr>
            <a:ln>
              <a:solidFill>
                <a:srgbClr val="082B8E"/>
              </a:solidFill>
            </a:ln>
          </c:spPr>
          <c:marker>
            <c:spPr>
              <a:solidFill>
                <a:srgbClr val="082B8E"/>
              </a:solidFill>
              <a:ln>
                <a:solidFill>
                  <a:srgbClr val="082B8E"/>
                </a:solidFill>
              </a:ln>
            </c:spPr>
          </c:marker>
          <c:cat>
            <c:numRef>
              <c:f>'Wykresy 2016-2021'!$B$99:$J$99</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'Wykresy 2016-2021'!$B$100:$J$100</c:f>
              <c:numCache>
                <c:formatCode>#,##0.00</c:formatCode>
                <c:ptCount val="9"/>
                <c:pt idx="0">
                  <c:v>88310082.739999995</c:v>
                </c:pt>
                <c:pt idx="1">
                  <c:v>98805683.650000006</c:v>
                </c:pt>
                <c:pt idx="2">
                  <c:v>109271456.73999999</c:v>
                </c:pt>
                <c:pt idx="3">
                  <c:v>119131282.81</c:v>
                </c:pt>
                <c:pt idx="4">
                  <c:v>130223405.14</c:v>
                </c:pt>
                <c:pt idx="5">
                  <c:v>151974532.49000001</c:v>
                </c:pt>
                <c:pt idx="6">
                  <c:v>167287364.08000001</c:v>
                </c:pt>
                <c:pt idx="7">
                  <c:v>180163178.00999999</c:v>
                </c:pt>
                <c:pt idx="8">
                  <c:v>186693819</c:v>
                </c:pt>
              </c:numCache>
            </c:numRef>
          </c:val>
          <c:smooth val="0"/>
          <c:extLst>
            <c:ext xmlns:c16="http://schemas.microsoft.com/office/drawing/2014/chart" uri="{C3380CC4-5D6E-409C-BE32-E72D297353CC}">
              <c16:uniqueId val="{00000000-9237-4224-932F-CC736FFEDB50}"/>
            </c:ext>
          </c:extLst>
        </c:ser>
        <c:ser>
          <c:idx val="1"/>
          <c:order val="1"/>
          <c:tx>
            <c:strRef>
              <c:f>'Wykresy 2016-2021'!$A$101</c:f>
              <c:strCache>
                <c:ptCount val="1"/>
                <c:pt idx="0">
                  <c:v>ceny stałe </c:v>
                </c:pt>
              </c:strCache>
            </c:strRef>
          </c:tx>
          <c:spPr>
            <a:ln>
              <a:solidFill>
                <a:srgbClr val="FF0000"/>
              </a:solidFill>
            </a:ln>
          </c:spPr>
          <c:marker>
            <c:spPr>
              <a:solidFill>
                <a:srgbClr val="FF0000"/>
              </a:solidFill>
              <a:ln>
                <a:solidFill>
                  <a:srgbClr val="FF0000"/>
                </a:solidFill>
              </a:ln>
            </c:spPr>
          </c:marker>
          <c:cat>
            <c:numRef>
              <c:f>'Wykresy 2016-2021'!$B$99:$J$99</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'Wykresy 2016-2021'!$B$101:$J$101</c:f>
              <c:numCache>
                <c:formatCode>#,##0</c:formatCode>
                <c:ptCount val="9"/>
                <c:pt idx="0">
                  <c:v>100223112.90162599</c:v>
                </c:pt>
                <c:pt idx="1">
                  <c:v>112134570.37438501</c:v>
                </c:pt>
                <c:pt idx="2">
                  <c:v>125137672.25864799</c:v>
                </c:pt>
                <c:pt idx="3">
                  <c:v>137251150.925401</c:v>
                </c:pt>
                <c:pt idx="4">
                  <c:v>147087336.10562998</c:v>
                </c:pt>
                <c:pt idx="5">
                  <c:v>168950087.769133</c:v>
                </c:pt>
                <c:pt idx="6">
                  <c:v>181791178.54573601</c:v>
                </c:pt>
                <c:pt idx="7">
                  <c:v>189351500.08850998</c:v>
                </c:pt>
                <c:pt idx="8">
                  <c:v>186693819</c:v>
                </c:pt>
              </c:numCache>
            </c:numRef>
          </c:val>
          <c:smooth val="0"/>
          <c:extLst>
            <c:ext xmlns:c16="http://schemas.microsoft.com/office/drawing/2014/chart" uri="{C3380CC4-5D6E-409C-BE32-E72D297353CC}">
              <c16:uniqueId val="{00000001-9237-4224-932F-CC736FFEDB50}"/>
            </c:ext>
          </c:extLst>
        </c:ser>
        <c:dLbls>
          <c:showLegendKey val="0"/>
          <c:showVal val="0"/>
          <c:showCatName val="0"/>
          <c:showSerName val="0"/>
          <c:showPercent val="0"/>
          <c:showBubbleSize val="0"/>
        </c:dLbls>
        <c:marker val="1"/>
        <c:smooth val="0"/>
        <c:axId val="815326368"/>
        <c:axId val="1"/>
      </c:lineChart>
      <c:catAx>
        <c:axId val="815326368"/>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max val="210000000"/>
          <c:min val="80000000"/>
        </c:scaling>
        <c:delete val="0"/>
        <c:axPos val="l"/>
        <c:majorGridlines/>
        <c:numFmt formatCode="#,##0.00" sourceLinked="1"/>
        <c:majorTickMark val="out"/>
        <c:minorTickMark val="none"/>
        <c:tickLblPos val="nextTo"/>
        <c:crossAx val="815326368"/>
        <c:crosses val="autoZero"/>
        <c:crossBetween val="between"/>
        <c:majorUnit val="20000000"/>
      </c:valAx>
    </c:plotArea>
    <c:legend>
      <c:legendPos val="b"/>
      <c:layout>
        <c:manualLayout>
          <c:xMode val="edge"/>
          <c:yMode val="edge"/>
          <c:x val="0.27955270864453841"/>
          <c:y val="0.91082793448287314"/>
          <c:w val="0.35942493522714802"/>
          <c:h val="7.6433104089836834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492108228002844E-2"/>
          <c:y val="0.13574680628241403"/>
          <c:w val="0.91558506069699552"/>
          <c:h val="0.4841636090739434"/>
        </c:manualLayout>
      </c:layout>
      <c:areaChart>
        <c:grouping val="stacked"/>
        <c:varyColors val="0"/>
        <c:ser>
          <c:idx val="2"/>
          <c:order val="0"/>
          <c:tx>
            <c:strRef>
              <c:f>Graphdata!$A$4</c:f>
              <c:strCache>
                <c:ptCount val="1"/>
                <c:pt idx="0">
                  <c:v>Dochody-Wydatki bieżące</c:v>
                </c:pt>
              </c:strCache>
            </c:strRef>
          </c:tx>
          <c:spPr>
            <a:solidFill>
              <a:srgbClr val="FFFF00"/>
            </a:solidFill>
            <a:ln w="12700">
              <a:solidFill>
                <a:srgbClr val="000000"/>
              </a:solidFill>
              <a:prstDash val="solid"/>
            </a:ln>
          </c:spPr>
          <c:cat>
            <c:numRef>
              <c:f>Graphdata!$B$3:$I$3</c:f>
              <c:numCache>
                <c:formatCode>0</c:formatCode>
                <c:ptCount val="8"/>
                <c:pt idx="0">
                  <c:v>2022</c:v>
                </c:pt>
                <c:pt idx="1">
                  <c:v>2023</c:v>
                </c:pt>
                <c:pt idx="2">
                  <c:v>2024</c:v>
                </c:pt>
                <c:pt idx="3">
                  <c:v>2025</c:v>
                </c:pt>
                <c:pt idx="4">
                  <c:v>2026</c:v>
                </c:pt>
                <c:pt idx="5">
                  <c:v>2027</c:v>
                </c:pt>
                <c:pt idx="6">
                  <c:v>2028</c:v>
                </c:pt>
                <c:pt idx="7">
                  <c:v>2029</c:v>
                </c:pt>
              </c:numCache>
            </c:numRef>
          </c:cat>
          <c:val>
            <c:numRef>
              <c:f>Graphdata!$B$4:$I$4</c:f>
              <c:numCache>
                <c:formatCode>#,##0</c:formatCode>
                <c:ptCount val="8"/>
                <c:pt idx="0">
                  <c:v>9132798</c:v>
                </c:pt>
                <c:pt idx="1">
                  <c:v>27919914</c:v>
                </c:pt>
                <c:pt idx="2">
                  <c:v>27407205</c:v>
                </c:pt>
                <c:pt idx="3">
                  <c:v>22999242</c:v>
                </c:pt>
                <c:pt idx="4">
                  <c:v>22275767</c:v>
                </c:pt>
                <c:pt idx="5">
                  <c:v>26082889</c:v>
                </c:pt>
                <c:pt idx="6">
                  <c:v>27164204</c:v>
                </c:pt>
                <c:pt idx="7">
                  <c:v>24903615</c:v>
                </c:pt>
              </c:numCache>
            </c:numRef>
          </c:val>
          <c:extLst>
            <c:ext xmlns:c16="http://schemas.microsoft.com/office/drawing/2014/chart" uri="{C3380CC4-5D6E-409C-BE32-E72D297353CC}">
              <c16:uniqueId val="{00000000-0D45-425E-896D-FBFDC44452C6}"/>
            </c:ext>
          </c:extLst>
        </c:ser>
        <c:ser>
          <c:idx val="3"/>
          <c:order val="1"/>
          <c:tx>
            <c:strRef>
              <c:f>Graphdata!$A$5</c:f>
              <c:strCache>
                <c:ptCount val="1"/>
                <c:pt idx="0">
                  <c:v>Przychody</c:v>
                </c:pt>
              </c:strCache>
            </c:strRef>
          </c:tx>
          <c:spPr>
            <a:solidFill>
              <a:srgbClr val="FF0000"/>
            </a:solidFill>
            <a:ln w="12700">
              <a:solidFill>
                <a:srgbClr val="000000"/>
              </a:solidFill>
              <a:prstDash val="solid"/>
            </a:ln>
          </c:spPr>
          <c:cat>
            <c:numRef>
              <c:f>Graphdata!$B$3:$I$3</c:f>
              <c:numCache>
                <c:formatCode>0</c:formatCode>
                <c:ptCount val="8"/>
                <c:pt idx="0">
                  <c:v>2022</c:v>
                </c:pt>
                <c:pt idx="1">
                  <c:v>2023</c:v>
                </c:pt>
                <c:pt idx="2">
                  <c:v>2024</c:v>
                </c:pt>
                <c:pt idx="3">
                  <c:v>2025</c:v>
                </c:pt>
                <c:pt idx="4">
                  <c:v>2026</c:v>
                </c:pt>
                <c:pt idx="5">
                  <c:v>2027</c:v>
                </c:pt>
                <c:pt idx="6">
                  <c:v>2028</c:v>
                </c:pt>
                <c:pt idx="7">
                  <c:v>2029</c:v>
                </c:pt>
              </c:numCache>
            </c:numRef>
          </c:cat>
          <c:val>
            <c:numRef>
              <c:f>Graphdata!$B$5:$I$5</c:f>
              <c:numCache>
                <c:formatCode>#,##0</c:formatCode>
                <c:ptCount val="8"/>
                <c:pt idx="0">
                  <c:v>10200000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1-0D45-425E-896D-FBFDC44452C6}"/>
            </c:ext>
          </c:extLst>
        </c:ser>
        <c:ser>
          <c:idx val="4"/>
          <c:order val="2"/>
          <c:tx>
            <c:strRef>
              <c:f>Graphdata!$A$6</c:f>
              <c:strCache>
                <c:ptCount val="1"/>
                <c:pt idx="0">
                  <c:v>Wolne środki</c:v>
                </c:pt>
              </c:strCache>
            </c:strRef>
          </c:tx>
          <c:spPr>
            <a:solidFill>
              <a:srgbClr val="00FF00"/>
            </a:solidFill>
            <a:ln w="12700">
              <a:solidFill>
                <a:srgbClr val="000000"/>
              </a:solidFill>
              <a:prstDash val="solid"/>
            </a:ln>
          </c:spPr>
          <c:cat>
            <c:numRef>
              <c:f>Graphdata!$B$3:$I$3</c:f>
              <c:numCache>
                <c:formatCode>0</c:formatCode>
                <c:ptCount val="8"/>
                <c:pt idx="0">
                  <c:v>2022</c:v>
                </c:pt>
                <c:pt idx="1">
                  <c:v>2023</c:v>
                </c:pt>
                <c:pt idx="2">
                  <c:v>2024</c:v>
                </c:pt>
                <c:pt idx="3">
                  <c:v>2025</c:v>
                </c:pt>
                <c:pt idx="4">
                  <c:v>2026</c:v>
                </c:pt>
                <c:pt idx="5">
                  <c:v>2027</c:v>
                </c:pt>
                <c:pt idx="6">
                  <c:v>2028</c:v>
                </c:pt>
                <c:pt idx="7">
                  <c:v>2029</c:v>
                </c:pt>
              </c:numCache>
            </c:numRef>
          </c:cat>
          <c:val>
            <c:numRef>
              <c:f>Graphdata!$B$6:$I$6</c:f>
              <c:numCache>
                <c:formatCode>#,##0</c:formatCode>
                <c:ptCount val="8"/>
                <c:pt idx="0">
                  <c:v>24416717.100000001</c:v>
                </c:pt>
                <c:pt idx="1">
                  <c:v>2325909.1000000015</c:v>
                </c:pt>
                <c:pt idx="2">
                  <c:v>2365917.1000000015</c:v>
                </c:pt>
                <c:pt idx="3">
                  <c:v>365917.10000000149</c:v>
                </c:pt>
                <c:pt idx="4">
                  <c:v>965917.10000000149</c:v>
                </c:pt>
                <c:pt idx="5">
                  <c:v>965917.10000000149</c:v>
                </c:pt>
                <c:pt idx="6">
                  <c:v>965917.10000000149</c:v>
                </c:pt>
                <c:pt idx="7">
                  <c:v>965917.10000000149</c:v>
                </c:pt>
              </c:numCache>
            </c:numRef>
          </c:val>
          <c:extLst>
            <c:ext xmlns:c16="http://schemas.microsoft.com/office/drawing/2014/chart" uri="{C3380CC4-5D6E-409C-BE32-E72D297353CC}">
              <c16:uniqueId val="{00000002-0D45-425E-896D-FBFDC44452C6}"/>
            </c:ext>
          </c:extLst>
        </c:ser>
        <c:dLbls>
          <c:showLegendKey val="0"/>
          <c:showVal val="0"/>
          <c:showCatName val="0"/>
          <c:showSerName val="0"/>
          <c:showPercent val="0"/>
          <c:showBubbleSize val="0"/>
        </c:dLbls>
        <c:axId val="948075776"/>
        <c:axId val="1"/>
      </c:areaChart>
      <c:barChart>
        <c:barDir val="col"/>
        <c:grouping val="stacked"/>
        <c:varyColors val="0"/>
        <c:ser>
          <c:idx val="0"/>
          <c:order val="3"/>
          <c:tx>
            <c:strRef>
              <c:f>Graphdata!$A$8</c:f>
              <c:strCache>
                <c:ptCount val="1"/>
                <c:pt idx="0">
                  <c:v>Inwestycje</c:v>
                </c:pt>
              </c:strCache>
            </c:strRef>
          </c:tx>
          <c:spPr>
            <a:solidFill>
              <a:srgbClr val="8080FF"/>
            </a:solidFill>
            <a:ln w="12700">
              <a:solidFill>
                <a:srgbClr val="000000"/>
              </a:solidFill>
              <a:prstDash val="solid"/>
            </a:ln>
          </c:spPr>
          <c:invertIfNegative val="0"/>
          <c:dLbls>
            <c:dLbl>
              <c:idx val="0"/>
              <c:layout>
                <c:manualLayout>
                  <c:x val="8.1699981696867589E-3"/>
                  <c:y val="-7.4995781077212215E-3"/>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45-425E-896D-FBFDC44452C6}"/>
                </c:ext>
              </c:extLst>
            </c:dLbl>
            <c:dLbl>
              <c:idx val="1"/>
              <c:layout>
                <c:manualLayout>
                  <c:x val="4.3032686210475023E-3"/>
                  <c:y val="2.043819907127001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45-425E-896D-FBFDC44452C6}"/>
                </c:ext>
              </c:extLst>
            </c:dLbl>
            <c:dLbl>
              <c:idx val="2"/>
              <c:layout>
                <c:manualLayout>
                  <c:x val="2.1237562958801855E-3"/>
                  <c:y val="2.687211790833838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45-425E-896D-FBFDC44452C6}"/>
                </c:ext>
              </c:extLst>
            </c:dLbl>
            <c:dLbl>
              <c:idx val="3"/>
              <c:layout>
                <c:manualLayout>
                  <c:x val="9.1250897356112942E-4"/>
                  <c:y val="-3.8411676632988487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45-425E-896D-FBFDC44452C6}"/>
                </c:ext>
              </c:extLst>
            </c:dLbl>
            <c:dLbl>
              <c:idx val="4"/>
              <c:layout>
                <c:manualLayout>
                  <c:x val="6.5787484714600842E-4"/>
                  <c:y val="2.1577732409997819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45-425E-896D-FBFDC44452C6}"/>
                </c:ext>
              </c:extLst>
            </c:dLbl>
            <c:dLbl>
              <c:idx val="5"/>
              <c:layout>
                <c:manualLayout>
                  <c:x val="6.6119643146177968E-3"/>
                  <c:y val="7.011443569553806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45-425E-896D-FBFDC44452C6}"/>
                </c:ext>
              </c:extLst>
            </c:dLbl>
            <c:dLbl>
              <c:idx val="6"/>
              <c:layout>
                <c:manualLayout>
                  <c:x val="-2.5382703824658663E-3"/>
                  <c:y val="1.811556632344034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45-425E-896D-FBFDC44452C6}"/>
                </c:ext>
              </c:extLst>
            </c:dLbl>
            <c:dLbl>
              <c:idx val="7"/>
              <c:layout>
                <c:manualLayout>
                  <c:x val="-8.2752876196299596E-4"/>
                  <c:y val="-1.80812840362501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D45-425E-896D-FBFDC44452C6}"/>
                </c:ext>
              </c:extLst>
            </c:dLbl>
            <c:dLbl>
              <c:idx val="8"/>
              <c:layout>
                <c:manualLayout>
                  <c:x val="1.0822650531055076E-3"/>
                  <c:y val="-2.9652981965128698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D45-425E-896D-FBFDC44452C6}"/>
                </c:ext>
              </c:extLst>
            </c:dLbl>
            <c:dLbl>
              <c:idx val="9"/>
              <c:layout>
                <c:manualLayout>
                  <c:x val="2.2706333864177248E-3"/>
                  <c:y val="1.784627858759578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D45-425E-896D-FBFDC44452C6}"/>
                </c:ext>
              </c:extLst>
            </c:dLbl>
            <c:dLbl>
              <c:idx val="10"/>
              <c:layout>
                <c:manualLayout>
                  <c:x val="-8.7000565945201727E-4"/>
                  <c:y val="-3.6497576252352774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D45-425E-896D-FBFDC44452C6}"/>
                </c:ext>
              </c:extLst>
            </c:dLbl>
            <c:dLbl>
              <c:idx val="11"/>
              <c:layout>
                <c:manualLayout>
                  <c:x val="-1.2251252457687767E-2"/>
                  <c:y val="3.1559604429783117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D45-425E-896D-FBFDC44452C6}"/>
                </c:ext>
              </c:extLst>
            </c:dLbl>
            <c:dLbl>
              <c:idx val="12"/>
              <c:layout>
                <c:manualLayout>
                  <c:x val="4.3927359266270937E-3"/>
                  <c:y val="-4.20813734691315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D45-425E-896D-FBFDC44452C6}"/>
                </c:ext>
              </c:extLst>
            </c:dLbl>
            <c:dLbl>
              <c:idx val="13"/>
              <c:layout>
                <c:manualLayout>
                  <c:x val="1.2520968807572409E-3"/>
                  <c:y val="6.7056047086809942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D45-425E-896D-FBFDC44452C6}"/>
                </c:ext>
              </c:extLst>
            </c:dLbl>
            <c:dLbl>
              <c:idx val="14"/>
              <c:layout>
                <c:manualLayout>
                  <c:x val="2.440389465962214E-3"/>
                  <c:y val="3.1689507378962783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D45-425E-896D-FBFDC44452C6}"/>
                </c:ext>
              </c:extLst>
            </c:dLbl>
            <c:dLbl>
              <c:idx val="15"/>
              <c:layout>
                <c:manualLayout>
                  <c:x val="7.4275287981975466E-4"/>
                  <c:y val="1.1405946146939528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D45-425E-896D-FBFDC44452C6}"/>
                </c:ext>
              </c:extLst>
            </c:dLbl>
            <c:dLbl>
              <c:idx val="16"/>
              <c:layout>
                <c:manualLayout>
                  <c:x val="1.2096199832683861E-3"/>
                  <c:y val="-3.4811311598104064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D45-425E-896D-FBFDC44452C6}"/>
                </c:ext>
              </c:extLst>
            </c:dLbl>
            <c:spPr>
              <a:noFill/>
              <a:ln w="25400">
                <a:noFill/>
              </a:ln>
            </c:spPr>
            <c:txPr>
              <a:bodyPr wrap="square" lIns="38100" tIns="19050" rIns="38100" bIns="19050" anchor="ctr">
                <a:spAutoFit/>
              </a:bodyPr>
              <a:lstStyle/>
              <a:p>
                <a:pPr>
                  <a:defRPr sz="1100" b="0" i="0" u="none" strike="noStrike" baseline="0">
                    <a:solidFill>
                      <a:srgbClr val="000000"/>
                    </a:solidFill>
                    <a:latin typeface="Times New Roman CE"/>
                    <a:ea typeface="Times New Roman CE"/>
                    <a:cs typeface="Times New Roman CE"/>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Graphdata!$B$3:$I$3</c:f>
              <c:numCache>
                <c:formatCode>0</c:formatCode>
                <c:ptCount val="8"/>
                <c:pt idx="0">
                  <c:v>2022</c:v>
                </c:pt>
                <c:pt idx="1">
                  <c:v>2023</c:v>
                </c:pt>
                <c:pt idx="2">
                  <c:v>2024</c:v>
                </c:pt>
                <c:pt idx="3">
                  <c:v>2025</c:v>
                </c:pt>
                <c:pt idx="4">
                  <c:v>2026</c:v>
                </c:pt>
                <c:pt idx="5">
                  <c:v>2027</c:v>
                </c:pt>
                <c:pt idx="6">
                  <c:v>2028</c:v>
                </c:pt>
                <c:pt idx="7">
                  <c:v>2029</c:v>
                </c:pt>
              </c:numCache>
            </c:numRef>
          </c:cat>
          <c:val>
            <c:numRef>
              <c:f>Graphdata!$B$8:$I$8</c:f>
              <c:numCache>
                <c:formatCode>#,##0</c:formatCode>
                <c:ptCount val="8"/>
                <c:pt idx="0">
                  <c:v>37423606</c:v>
                </c:pt>
                <c:pt idx="1">
                  <c:v>23979906</c:v>
                </c:pt>
                <c:pt idx="2">
                  <c:v>25307205</c:v>
                </c:pt>
                <c:pt idx="3">
                  <c:v>18355242</c:v>
                </c:pt>
                <c:pt idx="4">
                  <c:v>18298767</c:v>
                </c:pt>
                <c:pt idx="5">
                  <c:v>22082889</c:v>
                </c:pt>
                <c:pt idx="6">
                  <c:v>23544204</c:v>
                </c:pt>
                <c:pt idx="7">
                  <c:v>21603635</c:v>
                </c:pt>
              </c:numCache>
            </c:numRef>
          </c:val>
          <c:extLst>
            <c:ext xmlns:c16="http://schemas.microsoft.com/office/drawing/2014/chart" uri="{C3380CC4-5D6E-409C-BE32-E72D297353CC}">
              <c16:uniqueId val="{00000014-0D45-425E-896D-FBFDC44452C6}"/>
            </c:ext>
          </c:extLst>
        </c:ser>
        <c:ser>
          <c:idx val="1"/>
          <c:order val="4"/>
          <c:tx>
            <c:strRef>
              <c:f>Graphdata!$A$7</c:f>
              <c:strCache>
                <c:ptCount val="1"/>
                <c:pt idx="0">
                  <c:v>Obsługa kredytów</c:v>
                </c:pt>
              </c:strCache>
            </c:strRef>
          </c:tx>
          <c:spPr>
            <a:gradFill rotWithShape="0">
              <a:gsLst>
                <a:gs pos="0">
                  <a:srgbClr val="CC9CCC"/>
                </a:gs>
                <a:gs pos="100000">
                  <a:srgbClr val="993366"/>
                </a:gs>
              </a:gsLst>
              <a:lin ang="2700000" scaled="1"/>
            </a:gradFill>
            <a:ln w="12700">
              <a:solidFill>
                <a:srgbClr val="000000"/>
              </a:solidFill>
              <a:prstDash val="solid"/>
            </a:ln>
          </c:spPr>
          <c:invertIfNegative val="0"/>
          <c:dLbls>
            <c:dLbl>
              <c:idx val="0"/>
              <c:layout>
                <c:manualLayout>
                  <c:x val="-1.8857267992649649E-3"/>
                  <c:y val="-2.6287098728043608E-3"/>
                </c:manualLayout>
              </c:layout>
              <c:spPr>
                <a:noFill/>
                <a:ln w="25400">
                  <a:noFill/>
                </a:ln>
              </c:spPr>
              <c:txPr>
                <a:bodyPr/>
                <a:lstStyle/>
                <a:p>
                  <a:pPr>
                    <a:defRPr sz="10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D45-425E-896D-FBFDC44452C6}"/>
                </c:ext>
              </c:extLst>
            </c:dLbl>
            <c:dLbl>
              <c:idx val="2"/>
              <c:layout>
                <c:manualLayout>
                  <c:x val="1.2813984708985138E-3"/>
                  <c:y val="3.1930547143144816E-3"/>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D45-425E-896D-FBFDC44452C6}"/>
                </c:ext>
              </c:extLst>
            </c:dLbl>
            <c:dLbl>
              <c:idx val="3"/>
              <c:layout>
                <c:manualLayout>
                  <c:x val="3.7554580163573514E-3"/>
                  <c:y val="-2.7992731677770671E-3"/>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D45-425E-896D-FBFDC44452C6}"/>
                </c:ext>
              </c:extLst>
            </c:dLbl>
            <c:dLbl>
              <c:idx val="4"/>
              <c:layout>
                <c:manualLayout>
                  <c:x val="-8.0381608888973526E-4"/>
                  <c:y val="-2.9137896224510398E-4"/>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0D45-425E-896D-FBFDC44452C6}"/>
                </c:ext>
              </c:extLst>
            </c:dLbl>
            <c:dLbl>
              <c:idx val="6"/>
              <c:layout>
                <c:manualLayout>
                  <c:x val="3.1248512315645446E-3"/>
                  <c:y val="1.4457500504744599E-3"/>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D45-425E-896D-FBFDC44452C6}"/>
                </c:ext>
              </c:extLst>
            </c:dLbl>
            <c:dLbl>
              <c:idx val="7"/>
              <c:layout>
                <c:manualLayout>
                  <c:x val="1.9347037484885128E-3"/>
                  <c:y val="-7.521280634891811E-17"/>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0D45-425E-896D-FBFDC44452C6}"/>
                </c:ext>
              </c:extLst>
            </c:dLbl>
            <c:dLbl>
              <c:idx val="8"/>
              <c:layout>
                <c:manualLayout>
                  <c:x val="-8.2750231941302044E-3"/>
                  <c:y val="4.8474603595724197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0D45-425E-896D-FBFDC44452C6}"/>
                </c:ext>
              </c:extLst>
            </c:dLbl>
            <c:dLbl>
              <c:idx val="9"/>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showLegendKey val="0"/>
              <c:showVal val="1"/>
              <c:showCatName val="0"/>
              <c:showSerName val="0"/>
              <c:showPercent val="0"/>
              <c:showBubbleSize val="0"/>
              <c:extLst>
                <c:ext xmlns:c16="http://schemas.microsoft.com/office/drawing/2014/chart" uri="{C3380CC4-5D6E-409C-BE32-E72D297353CC}">
                  <c16:uniqueId val="{0000001C-0D45-425E-896D-FBFDC44452C6}"/>
                </c:ext>
              </c:extLst>
            </c:dLbl>
            <c:dLbl>
              <c:idx val="10"/>
              <c:layout>
                <c:manualLayout>
                  <c:x val="-1.8542606113946758E-2"/>
                  <c:y val="3.6408220815065118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0D45-425E-896D-FBFDC44452C6}"/>
                </c:ext>
              </c:extLst>
            </c:dLbl>
            <c:dLbl>
              <c:idx val="11"/>
              <c:layout>
                <c:manualLayout>
                  <c:x val="-6.7210805873394452E-3"/>
                  <c:y val="1.8308646644076609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0D45-425E-896D-FBFDC44452C6}"/>
                </c:ext>
              </c:extLst>
            </c:dLbl>
            <c:dLbl>
              <c:idx val="12"/>
              <c:layout>
                <c:manualLayout>
                  <c:x val="-4.0247750326959887E-3"/>
                  <c:y val="-5.0526369873765201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0D45-425E-896D-FBFDC44452C6}"/>
                </c:ext>
              </c:extLst>
            </c:dLbl>
            <c:dLbl>
              <c:idx val="13"/>
              <c:layout>
                <c:manualLayout>
                  <c:xMode val="edge"/>
                  <c:yMode val="edge"/>
                  <c:x val="0.52525289534075081"/>
                  <c:y val="0.34841680279152937"/>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0D45-425E-896D-FBFDC44452C6}"/>
                </c:ext>
              </c:extLst>
            </c:dLbl>
            <c:dLbl>
              <c:idx val="14"/>
              <c:layout>
                <c:manualLayout>
                  <c:xMode val="edge"/>
                  <c:yMode val="edge"/>
                  <c:x val="0.55844195191447954"/>
                  <c:y val="0.3454002070963646"/>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0D45-425E-896D-FBFDC44452C6}"/>
                </c:ext>
              </c:extLst>
            </c:dLbl>
            <c:dLbl>
              <c:idx val="15"/>
              <c:layout>
                <c:manualLayout>
                  <c:x val="-6.5925413127652472E-3"/>
                  <c:y val="-4.4664688435217599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0D45-425E-896D-FBFDC44452C6}"/>
                </c:ext>
              </c:extLst>
            </c:dLbl>
            <c:dLbl>
              <c:idx val="16"/>
              <c:layout>
                <c:manualLayout>
                  <c:x val="1.6906372402460755E-3"/>
                  <c:y val="-2.6440337925015746E-2"/>
                </c:manualLayout>
              </c:layout>
              <c:spPr>
                <a:noFill/>
                <a:ln w="25400">
                  <a:noFill/>
                </a:ln>
              </c:spPr>
              <c:txPr>
                <a:bodyPr/>
                <a:lstStyle/>
                <a:p>
                  <a:pPr>
                    <a:defRPr sz="1100" b="0" i="0" u="none" strike="noStrike" baseline="0">
                      <a:solidFill>
                        <a:srgbClr val="000000"/>
                      </a:solidFill>
                      <a:latin typeface="Times New Roman CE"/>
                      <a:ea typeface="Times New Roman CE"/>
                      <a:cs typeface="Times New Roman CE"/>
                    </a:defRPr>
                  </a:pPr>
                  <a:endParaRPr lang="pl-PL"/>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0D45-425E-896D-FBFDC44452C6}"/>
                </c:ext>
              </c:extLst>
            </c:dLbl>
            <c:spPr>
              <a:noFill/>
              <a:ln w="25400">
                <a:noFill/>
              </a:ln>
            </c:spPr>
            <c:txPr>
              <a:bodyPr wrap="square" lIns="38100" tIns="19050" rIns="38100" bIns="19050" anchor="ctr">
                <a:spAutoFit/>
              </a:bodyPr>
              <a:lstStyle/>
              <a:p>
                <a:pPr>
                  <a:defRPr sz="1100" b="0" i="0" u="none" strike="noStrike" baseline="0">
                    <a:solidFill>
                      <a:srgbClr val="000000"/>
                    </a:solidFill>
                    <a:latin typeface="Times New Roman CE"/>
                    <a:ea typeface="Times New Roman CE"/>
                    <a:cs typeface="Times New Roman CE"/>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Graphdata!$B$3:$I$3</c:f>
              <c:numCache>
                <c:formatCode>0</c:formatCode>
                <c:ptCount val="8"/>
                <c:pt idx="0">
                  <c:v>2022</c:v>
                </c:pt>
                <c:pt idx="1">
                  <c:v>2023</c:v>
                </c:pt>
                <c:pt idx="2">
                  <c:v>2024</c:v>
                </c:pt>
                <c:pt idx="3">
                  <c:v>2025</c:v>
                </c:pt>
                <c:pt idx="4">
                  <c:v>2026</c:v>
                </c:pt>
                <c:pt idx="5">
                  <c:v>2027</c:v>
                </c:pt>
                <c:pt idx="6">
                  <c:v>2028</c:v>
                </c:pt>
                <c:pt idx="7">
                  <c:v>2029</c:v>
                </c:pt>
              </c:numCache>
            </c:numRef>
          </c:cat>
          <c:val>
            <c:numRef>
              <c:f>Graphdata!$B$7:$I$7</c:f>
              <c:numCache>
                <c:formatCode>#,##0</c:formatCode>
                <c:ptCount val="8"/>
                <c:pt idx="0">
                  <c:v>5001844</c:v>
                </c:pt>
                <c:pt idx="1">
                  <c:v>4595664</c:v>
                </c:pt>
                <c:pt idx="2">
                  <c:v>4711984</c:v>
                </c:pt>
                <c:pt idx="3">
                  <c:v>4642304</c:v>
                </c:pt>
                <c:pt idx="4">
                  <c:v>4465600</c:v>
                </c:pt>
                <c:pt idx="5">
                  <c:v>4376348</c:v>
                </c:pt>
                <c:pt idx="6">
                  <c:v>3912756</c:v>
                </c:pt>
                <c:pt idx="7">
                  <c:v>3508000</c:v>
                </c:pt>
              </c:numCache>
            </c:numRef>
          </c:val>
          <c:extLst>
            <c:ext xmlns:c16="http://schemas.microsoft.com/office/drawing/2014/chart" uri="{C3380CC4-5D6E-409C-BE32-E72D297353CC}">
              <c16:uniqueId val="{00000024-0D45-425E-896D-FBFDC44452C6}"/>
            </c:ext>
          </c:extLst>
        </c:ser>
        <c:dLbls>
          <c:showLegendKey val="0"/>
          <c:showVal val="0"/>
          <c:showCatName val="0"/>
          <c:showSerName val="0"/>
          <c:showPercent val="0"/>
          <c:showBubbleSize val="0"/>
        </c:dLbls>
        <c:gapWidth val="150"/>
        <c:overlap val="100"/>
        <c:axId val="3"/>
        <c:axId val="4"/>
      </c:barChart>
      <c:catAx>
        <c:axId val="948075776"/>
        <c:scaling>
          <c:orientation val="minMax"/>
        </c:scaling>
        <c:delete val="0"/>
        <c:axPos val="b"/>
        <c:numFmt formatCode="0" sourceLinked="1"/>
        <c:majorTickMark val="cross"/>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Times New Roman CE"/>
                <a:ea typeface="Times New Roman CE"/>
                <a:cs typeface="Times New Roman CE"/>
              </a:defRPr>
            </a:pPr>
            <a:endParaRPr lang="pl-PL"/>
          </a:p>
        </c:txPr>
        <c:crossAx val="1"/>
        <c:crosses val="autoZero"/>
        <c:auto val="0"/>
        <c:lblAlgn val="ctr"/>
        <c:lblOffset val="100"/>
        <c:tickLblSkip val="1"/>
        <c:tickMarkSkip val="1"/>
        <c:noMultiLvlLbl val="0"/>
      </c:catAx>
      <c:valAx>
        <c:axId val="1"/>
        <c:scaling>
          <c:orientation val="minMax"/>
        </c:scaling>
        <c:delete val="0"/>
        <c:axPos val="l"/>
        <c:numFmt formatCode="#,##0" sourceLinked="1"/>
        <c:majorTickMark val="cross"/>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Times New Roman CE"/>
                <a:ea typeface="Times New Roman CE"/>
                <a:cs typeface="Times New Roman CE"/>
              </a:defRPr>
            </a:pPr>
            <a:endParaRPr lang="pl-PL"/>
          </a:p>
        </c:txPr>
        <c:crossAx val="948075776"/>
        <c:crosses val="autoZero"/>
        <c:crossBetween val="between"/>
      </c:valAx>
      <c:catAx>
        <c:axId val="3"/>
        <c:scaling>
          <c:orientation val="minMax"/>
        </c:scaling>
        <c:delete val="1"/>
        <c:axPos val="b"/>
        <c:numFmt formatCode="0" sourceLinked="1"/>
        <c:majorTickMark val="out"/>
        <c:minorTickMark val="none"/>
        <c:tickLblPos val="nextTo"/>
        <c:crossAx val="4"/>
        <c:crosses val="autoZero"/>
        <c:auto val="0"/>
        <c:lblAlgn val="ctr"/>
        <c:lblOffset val="100"/>
        <c:noMultiLvlLbl val="0"/>
      </c:catAx>
      <c:valAx>
        <c:axId val="4"/>
        <c:scaling>
          <c:orientation val="minMax"/>
        </c:scaling>
        <c:delete val="1"/>
        <c:axPos val="l"/>
        <c:numFmt formatCode="#,##0" sourceLinked="1"/>
        <c:majorTickMark val="out"/>
        <c:minorTickMark val="none"/>
        <c:tickLblPos val="nextTo"/>
        <c:crossAx val="3"/>
        <c:crosses val="autoZero"/>
        <c:crossBetween val="between"/>
      </c:valAx>
      <c:spPr>
        <a:solidFill>
          <a:srgbClr val="FFFFFF"/>
        </a:solidFill>
        <a:ln w="12700">
          <a:solidFill>
            <a:srgbClr val="808080"/>
          </a:solidFill>
          <a:prstDash val="solid"/>
        </a:ln>
      </c:spPr>
    </c:plotArea>
    <c:legend>
      <c:legendPos val="b"/>
      <c:layout>
        <c:manualLayout>
          <c:xMode val="edge"/>
          <c:yMode val="edge"/>
          <c:x val="0.19320846142417974"/>
          <c:y val="0.83033004563661716"/>
          <c:w val="0.67602457241766367"/>
          <c:h val="8.0990148834757761E-2"/>
        </c:manualLayout>
      </c:layout>
      <c:overlay val="0"/>
      <c:spPr>
        <a:solidFill>
          <a:srgbClr val="FFFFFF"/>
        </a:solidFill>
        <a:ln w="3175">
          <a:solidFill>
            <a:srgbClr val="000000"/>
          </a:solidFill>
          <a:prstDash val="solid"/>
        </a:ln>
      </c:spPr>
      <c:txPr>
        <a:bodyPr/>
        <a:lstStyle/>
        <a:p>
          <a:pPr>
            <a:defRPr sz="1100" b="0" i="0" u="none" strike="noStrike" baseline="0">
              <a:solidFill>
                <a:srgbClr val="000000"/>
              </a:solidFill>
              <a:latin typeface="Arial CE"/>
              <a:ea typeface="Arial CE"/>
              <a:cs typeface="Arial CE"/>
            </a:defRPr>
          </a:pPr>
          <a:endParaRPr lang="pl-PL"/>
        </a:p>
      </c:txPr>
    </c:legend>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Times New Roman CE"/>
          <a:ea typeface="Times New Roman CE"/>
          <a:cs typeface="Times New Roman CE"/>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'Analizy 2014-2022'!$A$36</c:f>
              <c:strCache>
                <c:ptCount val="1"/>
                <c:pt idx="0">
                  <c:v>Lokalne dochody własne</c:v>
                </c:pt>
              </c:strCache>
            </c:strRef>
          </c:tx>
          <c:spPr>
            <a:ln w="28575" cap="rnd">
              <a:solidFill>
                <a:srgbClr val="FF0000"/>
              </a:solidFill>
              <a:round/>
            </a:ln>
            <a:effectLst/>
          </c:spPr>
          <c:marker>
            <c:symbol val="none"/>
          </c:marker>
          <c:cat>
            <c:numRef>
              <c:f>'Analizy 2014-2022'!$B$35:$J$35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2014-2022'!$B$36:$J$36</c:f>
              <c:numCache>
                <c:formatCode>#,##0.00</c:formatCode>
                <c:ptCount val="9"/>
                <c:pt idx="0">
                  <c:v>39.205133554152972</c:v>
                </c:pt>
                <c:pt idx="1">
                  <c:v>40.376156802190202</c:v>
                </c:pt>
                <c:pt idx="2">
                  <c:v>32.724416509869982</c:v>
                </c:pt>
                <c:pt idx="3">
                  <c:v>31.207138631499127</c:v>
                </c:pt>
                <c:pt idx="4">
                  <c:v>29.678351866509946</c:v>
                </c:pt>
                <c:pt idx="5">
                  <c:v>30.78323539049434</c:v>
                </c:pt>
                <c:pt idx="6">
                  <c:v>32.679365534061802</c:v>
                </c:pt>
                <c:pt idx="7">
                  <c:v>28.938382413029011</c:v>
                </c:pt>
                <c:pt idx="8">
                  <c:v>32.489948689731399</c:v>
                </c:pt>
              </c:numCache>
            </c:numRef>
          </c:val>
          <c:smooth val="0"/>
          <c:extLst>
            <c:ext xmlns:c16="http://schemas.microsoft.com/office/drawing/2014/chart" uri="{C3380CC4-5D6E-409C-BE32-E72D297353CC}">
              <c16:uniqueId val="{00000000-210A-4849-8F95-9DDF5C990B28}"/>
            </c:ext>
          </c:extLst>
        </c:ser>
        <c:ser>
          <c:idx val="1"/>
          <c:order val="1"/>
          <c:tx>
            <c:strRef>
              <c:f>'Analizy 2014-2022'!$A$37</c:f>
              <c:strCache>
                <c:ptCount val="1"/>
                <c:pt idx="0">
                  <c:v>Udziały  w podatkach budżetu państwa</c:v>
                </c:pt>
              </c:strCache>
            </c:strRef>
          </c:tx>
          <c:spPr>
            <a:ln w="28575" cap="rnd">
              <a:solidFill>
                <a:schemeClr val="tx1">
                  <a:lumMod val="75000"/>
                  <a:lumOff val="25000"/>
                </a:schemeClr>
              </a:solidFill>
              <a:round/>
            </a:ln>
            <a:effectLst/>
          </c:spPr>
          <c:marker>
            <c:symbol val="none"/>
          </c:marker>
          <c:cat>
            <c:numRef>
              <c:f>'Analizy 2014-2022'!$B$35:$J$35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2014-2022'!$B$37:$J$37</c:f>
              <c:numCache>
                <c:formatCode>#,##0.00</c:formatCode>
                <c:ptCount val="9"/>
                <c:pt idx="0">
                  <c:v>23.646796823281971</c:v>
                </c:pt>
                <c:pt idx="1">
                  <c:v>23.577341474120754</c:v>
                </c:pt>
                <c:pt idx="2">
                  <c:v>23.790417191797015</c:v>
                </c:pt>
                <c:pt idx="3">
                  <c:v>23.573237732014647</c:v>
                </c:pt>
                <c:pt idx="4">
                  <c:v>25.684956589824274</c:v>
                </c:pt>
                <c:pt idx="5">
                  <c:v>24.460916767384095</c:v>
                </c:pt>
                <c:pt idx="6">
                  <c:v>22.095655008541755</c:v>
                </c:pt>
                <c:pt idx="7">
                  <c:v>24.184774403558489</c:v>
                </c:pt>
                <c:pt idx="8">
                  <c:v>23.221139956433159</c:v>
                </c:pt>
              </c:numCache>
            </c:numRef>
          </c:val>
          <c:smooth val="0"/>
          <c:extLst>
            <c:ext xmlns:c16="http://schemas.microsoft.com/office/drawing/2014/chart" uri="{C3380CC4-5D6E-409C-BE32-E72D297353CC}">
              <c16:uniqueId val="{00000001-210A-4849-8F95-9DDF5C990B28}"/>
            </c:ext>
          </c:extLst>
        </c:ser>
        <c:ser>
          <c:idx val="2"/>
          <c:order val="2"/>
          <c:tx>
            <c:strRef>
              <c:f>'Analizy 2014-2022'!$A$38</c:f>
              <c:strCache>
                <c:ptCount val="1"/>
                <c:pt idx="0">
                  <c:v>Subwencja ogólna </c:v>
                </c:pt>
              </c:strCache>
            </c:strRef>
          </c:tx>
          <c:spPr>
            <a:ln w="28575" cap="rnd">
              <a:solidFill>
                <a:srgbClr val="FFC000"/>
              </a:solidFill>
              <a:round/>
            </a:ln>
            <a:effectLst/>
          </c:spPr>
          <c:marker>
            <c:symbol val="none"/>
          </c:marker>
          <c:cat>
            <c:numRef>
              <c:f>'Analizy 2014-2022'!$B$35:$J$35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2014-2022'!$B$38:$J$38</c:f>
              <c:numCache>
                <c:formatCode>#,##0.00</c:formatCode>
                <c:ptCount val="9"/>
                <c:pt idx="0">
                  <c:v>23.866690355226364</c:v>
                </c:pt>
                <c:pt idx="1">
                  <c:v>21.908406683040038</c:v>
                </c:pt>
                <c:pt idx="2">
                  <c:v>21.101007241866117</c:v>
                </c:pt>
                <c:pt idx="3">
                  <c:v>19.585756528126151</c:v>
                </c:pt>
                <c:pt idx="4">
                  <c:v>18.725963258128331</c:v>
                </c:pt>
                <c:pt idx="5">
                  <c:v>17.160176493200279</c:v>
                </c:pt>
                <c:pt idx="6">
                  <c:v>15.721192777849643</c:v>
                </c:pt>
                <c:pt idx="7">
                  <c:v>18.805601885041927</c:v>
                </c:pt>
                <c:pt idx="8">
                  <c:v>16.319704724664717</c:v>
                </c:pt>
              </c:numCache>
            </c:numRef>
          </c:val>
          <c:smooth val="0"/>
          <c:extLst>
            <c:ext xmlns:c16="http://schemas.microsoft.com/office/drawing/2014/chart" uri="{C3380CC4-5D6E-409C-BE32-E72D297353CC}">
              <c16:uniqueId val="{00000002-210A-4849-8F95-9DDF5C990B28}"/>
            </c:ext>
          </c:extLst>
        </c:ser>
        <c:ser>
          <c:idx val="3"/>
          <c:order val="3"/>
          <c:tx>
            <c:strRef>
              <c:f>'Analizy 2014-2022'!$A$39</c:f>
              <c:strCache>
                <c:ptCount val="1"/>
                <c:pt idx="0">
                  <c:v>Dotacje</c:v>
                </c:pt>
              </c:strCache>
            </c:strRef>
          </c:tx>
          <c:spPr>
            <a:ln w="28575" cap="rnd">
              <a:solidFill>
                <a:srgbClr val="00B050"/>
              </a:solidFill>
              <a:round/>
            </a:ln>
            <a:effectLst/>
          </c:spPr>
          <c:marker>
            <c:symbol val="none"/>
          </c:marker>
          <c:cat>
            <c:numRef>
              <c:f>'Analizy 2014-2022'!$B$35:$J$35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2014-2022'!$B$39:$J$39</c:f>
              <c:numCache>
                <c:formatCode>#,##0.00</c:formatCode>
                <c:ptCount val="9"/>
                <c:pt idx="0">
                  <c:v>10.302637589851271</c:v>
                </c:pt>
                <c:pt idx="1">
                  <c:v>10.620857953043474</c:v>
                </c:pt>
                <c:pt idx="2">
                  <c:v>21.999685734216193</c:v>
                </c:pt>
                <c:pt idx="3">
                  <c:v>24.851625225271928</c:v>
                </c:pt>
                <c:pt idx="4">
                  <c:v>23.684552878064913</c:v>
                </c:pt>
                <c:pt idx="5">
                  <c:v>25.923854848898703</c:v>
                </c:pt>
                <c:pt idx="6">
                  <c:v>28.955474567006519</c:v>
                </c:pt>
                <c:pt idx="7">
                  <c:v>27.414656110949892</c:v>
                </c:pt>
                <c:pt idx="8">
                  <c:v>25.493736886918576</c:v>
                </c:pt>
              </c:numCache>
            </c:numRef>
          </c:val>
          <c:smooth val="0"/>
          <c:extLst>
            <c:ext xmlns:c16="http://schemas.microsoft.com/office/drawing/2014/chart" uri="{C3380CC4-5D6E-409C-BE32-E72D297353CC}">
              <c16:uniqueId val="{00000003-210A-4849-8F95-9DDF5C990B28}"/>
            </c:ext>
          </c:extLst>
        </c:ser>
        <c:ser>
          <c:idx val="4"/>
          <c:order val="4"/>
          <c:tx>
            <c:strRef>
              <c:f>'Analizy 2014-2022'!$A$40</c:f>
              <c:strCache>
                <c:ptCount val="1"/>
                <c:pt idx="0">
                  <c:v>Dotacje UE</c:v>
                </c:pt>
              </c:strCache>
            </c:strRef>
          </c:tx>
          <c:spPr>
            <a:ln w="28575" cap="rnd">
              <a:solidFill>
                <a:srgbClr val="0070C0"/>
              </a:solidFill>
              <a:round/>
            </a:ln>
            <a:effectLst/>
          </c:spPr>
          <c:marker>
            <c:symbol val="none"/>
          </c:marker>
          <c:cat>
            <c:numRef>
              <c:f>'Analizy 2014-2022'!$B$35:$J$35</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2014-2022'!$B$40:$J$40</c:f>
              <c:numCache>
                <c:formatCode>#,##0.00</c:formatCode>
                <c:ptCount val="9"/>
                <c:pt idx="0">
                  <c:v>2.9787416774874154</c:v>
                </c:pt>
                <c:pt idx="1">
                  <c:v>3.5172370876055363</c:v>
                </c:pt>
                <c:pt idx="2">
                  <c:v>0.38447332225068681</c:v>
                </c:pt>
                <c:pt idx="3">
                  <c:v>0.78224188308813869</c:v>
                </c:pt>
                <c:pt idx="4">
                  <c:v>2.2261754074725313</c:v>
                </c:pt>
                <c:pt idx="5">
                  <c:v>1.671816500022582</c:v>
                </c:pt>
                <c:pt idx="6">
                  <c:v>0.54831211254028145</c:v>
                </c:pt>
                <c:pt idx="7">
                  <c:v>0.65658518742067351</c:v>
                </c:pt>
                <c:pt idx="8">
                  <c:v>2.4754697422521525</c:v>
                </c:pt>
              </c:numCache>
            </c:numRef>
          </c:val>
          <c:smooth val="0"/>
          <c:extLst>
            <c:ext xmlns:c16="http://schemas.microsoft.com/office/drawing/2014/chart" uri="{C3380CC4-5D6E-409C-BE32-E72D297353CC}">
              <c16:uniqueId val="{00000004-210A-4849-8F95-9DDF5C990B28}"/>
            </c:ext>
          </c:extLst>
        </c:ser>
        <c:dLbls>
          <c:showLegendKey val="0"/>
          <c:showVal val="0"/>
          <c:showCatName val="0"/>
          <c:showSerName val="0"/>
          <c:showPercent val="0"/>
          <c:showBubbleSize val="0"/>
        </c:dLbls>
        <c:smooth val="0"/>
        <c:axId val="812236184"/>
        <c:axId val="812232248"/>
      </c:lineChart>
      <c:catAx>
        <c:axId val="812236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12232248"/>
        <c:crosses val="autoZero"/>
        <c:auto val="1"/>
        <c:lblAlgn val="ctr"/>
        <c:lblOffset val="100"/>
        <c:noMultiLvlLbl val="0"/>
      </c:catAx>
      <c:valAx>
        <c:axId val="812232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12236184"/>
        <c:crosses val="autoZero"/>
        <c:crossBetween val="between"/>
      </c:valAx>
      <c:spPr>
        <a:noFill/>
        <a:ln>
          <a:noFill/>
        </a:ln>
        <a:effectLst/>
      </c:spPr>
    </c:plotArea>
    <c:legend>
      <c:legendPos val="b"/>
      <c:layout>
        <c:manualLayout>
          <c:xMode val="edge"/>
          <c:yMode val="edge"/>
          <c:x val="9.3283740860107323E-2"/>
          <c:y val="0.73668708078156897"/>
          <c:w val="0.81898797025371839"/>
          <c:h val="0.263312919218431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00014062518311"/>
          <c:y val="7.6525085288363603E-2"/>
          <c:w val="0.81733439757083015"/>
          <c:h val="0.66876020630891364"/>
        </c:manualLayout>
      </c:layout>
      <c:lineChart>
        <c:grouping val="standard"/>
        <c:varyColors val="0"/>
        <c:ser>
          <c:idx val="0"/>
          <c:order val="0"/>
          <c:tx>
            <c:strRef>
              <c:f>'Analizy 2014-2022'!$A$182</c:f>
              <c:strCache>
                <c:ptCount val="1"/>
                <c:pt idx="0">
                  <c:v>ceny bieżące</c:v>
                </c:pt>
              </c:strCache>
            </c:strRef>
          </c:tx>
          <c:spPr>
            <a:ln w="38100">
              <a:solidFill>
                <a:srgbClr val="0000FF"/>
              </a:solidFill>
              <a:prstDash val="solid"/>
            </a:ln>
          </c:spPr>
          <c:marker>
            <c:symbol val="diamond"/>
            <c:size val="7"/>
            <c:spPr>
              <a:solidFill>
                <a:srgbClr val="0000FF"/>
              </a:solidFill>
              <a:ln>
                <a:solidFill>
                  <a:srgbClr val="0000FF"/>
                </a:solidFill>
                <a:prstDash val="solid"/>
              </a:ln>
            </c:spPr>
          </c:marker>
          <c:cat>
            <c:numRef>
              <c:f>'Analizy 2014-2022'!$B$181:$J$181</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2014-2022'!$B$182:$J$182</c:f>
              <c:numCache>
                <c:formatCode>#,##0.00</c:formatCode>
                <c:ptCount val="9"/>
                <c:pt idx="0">
                  <c:v>87334315.150000006</c:v>
                </c:pt>
                <c:pt idx="1">
                  <c:v>89218534.219999999</c:v>
                </c:pt>
                <c:pt idx="2">
                  <c:v>111663679.2</c:v>
                </c:pt>
                <c:pt idx="3">
                  <c:v>117669625.13</c:v>
                </c:pt>
                <c:pt idx="4">
                  <c:v>134845434.06999999</c:v>
                </c:pt>
                <c:pt idx="5">
                  <c:v>148857765.16999999</c:v>
                </c:pt>
                <c:pt idx="6">
                  <c:v>165017381.61000001</c:v>
                </c:pt>
                <c:pt idx="7">
                  <c:v>169981446.72999999</c:v>
                </c:pt>
                <c:pt idx="8">
                  <c:v>214984637</c:v>
                </c:pt>
              </c:numCache>
            </c:numRef>
          </c:val>
          <c:smooth val="0"/>
          <c:extLst>
            <c:ext xmlns:c16="http://schemas.microsoft.com/office/drawing/2014/chart" uri="{C3380CC4-5D6E-409C-BE32-E72D297353CC}">
              <c16:uniqueId val="{00000000-9C25-4BA6-94A8-78D16CE99F9D}"/>
            </c:ext>
          </c:extLst>
        </c:ser>
        <c:ser>
          <c:idx val="1"/>
          <c:order val="1"/>
          <c:tx>
            <c:strRef>
              <c:f>'Analizy 2014-2022'!$A$183</c:f>
              <c:strCache>
                <c:ptCount val="1"/>
                <c:pt idx="0">
                  <c:v>ceny stałe</c:v>
                </c:pt>
              </c:strCache>
            </c:strRef>
          </c:tx>
          <c:spPr>
            <a:ln w="38100">
              <a:solidFill>
                <a:srgbClr val="FF0000"/>
              </a:solidFill>
              <a:prstDash val="solid"/>
            </a:ln>
          </c:spPr>
          <c:marker>
            <c:symbol val="square"/>
            <c:size val="7"/>
            <c:spPr>
              <a:solidFill>
                <a:srgbClr val="FF0000"/>
              </a:solidFill>
              <a:ln>
                <a:solidFill>
                  <a:srgbClr val="FF0000"/>
                </a:solidFill>
              </a:ln>
            </c:spPr>
          </c:marker>
          <c:cat>
            <c:numRef>
              <c:f>'Analizy 2014-2022'!$B$181:$J$181</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2014-2022'!$B$183:$J$183</c:f>
              <c:numCache>
                <c:formatCode>#,##0</c:formatCode>
                <c:ptCount val="9"/>
                <c:pt idx="0">
                  <c:v>99115714.263735011</c:v>
                </c:pt>
                <c:pt idx="1">
                  <c:v>101254114.486278</c:v>
                </c:pt>
                <c:pt idx="2">
                  <c:v>127877245.41984001</c:v>
                </c:pt>
                <c:pt idx="3">
                  <c:v>135567175.11227298</c:v>
                </c:pt>
                <c:pt idx="4">
                  <c:v>152307917.78206497</c:v>
                </c:pt>
                <c:pt idx="5">
                  <c:v>165485177.53948897</c:v>
                </c:pt>
                <c:pt idx="6">
                  <c:v>179324388.59558702</c:v>
                </c:pt>
                <c:pt idx="7">
                  <c:v>178650500.51322997</c:v>
                </c:pt>
                <c:pt idx="8">
                  <c:v>214984637</c:v>
                </c:pt>
              </c:numCache>
            </c:numRef>
          </c:val>
          <c:smooth val="0"/>
          <c:extLst>
            <c:ext xmlns:c16="http://schemas.microsoft.com/office/drawing/2014/chart" uri="{C3380CC4-5D6E-409C-BE32-E72D297353CC}">
              <c16:uniqueId val="{00000001-9C25-4BA6-94A8-78D16CE99F9D}"/>
            </c:ext>
          </c:extLst>
        </c:ser>
        <c:dLbls>
          <c:showLegendKey val="0"/>
          <c:showVal val="0"/>
          <c:showCatName val="0"/>
          <c:showSerName val="0"/>
          <c:showPercent val="0"/>
          <c:showBubbleSize val="0"/>
        </c:dLbls>
        <c:marker val="1"/>
        <c:smooth val="0"/>
        <c:axId val="916130896"/>
        <c:axId val="1"/>
      </c:lineChart>
      <c:catAx>
        <c:axId val="916130896"/>
        <c:scaling>
          <c:orientation val="minMax"/>
        </c:scaling>
        <c:delete val="0"/>
        <c:axPos val="b"/>
        <c:numFmt formatCode="0" sourceLinked="1"/>
        <c:majorTickMark val="none"/>
        <c:minorTickMark val="none"/>
        <c:tickLblPos val="nextTo"/>
        <c:crossAx val="1"/>
        <c:crosses val="autoZero"/>
        <c:auto val="1"/>
        <c:lblAlgn val="ctr"/>
        <c:lblOffset val="100"/>
        <c:noMultiLvlLbl val="0"/>
      </c:catAx>
      <c:valAx>
        <c:axId val="1"/>
        <c:scaling>
          <c:orientation val="minMax"/>
          <c:max val="240000000"/>
          <c:min val="60000000"/>
        </c:scaling>
        <c:delete val="0"/>
        <c:axPos val="l"/>
        <c:majorGridlines/>
        <c:numFmt formatCode="#,##0.00" sourceLinked="1"/>
        <c:majorTickMark val="none"/>
        <c:minorTickMark val="none"/>
        <c:tickLblPos val="nextTo"/>
        <c:crossAx val="916130896"/>
        <c:crosses val="autoZero"/>
        <c:crossBetween val="between"/>
      </c:valAx>
    </c:plotArea>
    <c:legend>
      <c:legendPos val="b"/>
      <c:layout>
        <c:manualLayout>
          <c:xMode val="edge"/>
          <c:yMode val="edge"/>
          <c:x val="0.27466706071928676"/>
          <c:y val="0.87736122047244092"/>
          <c:w val="0.58937780517236882"/>
          <c:h val="7.8616797900262436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937823834196887E-2"/>
          <c:y val="7.6465441819772523E-2"/>
          <c:w val="0.82279792746113989"/>
          <c:h val="0.70061783395496613"/>
        </c:manualLayout>
      </c:layout>
      <c:lineChart>
        <c:grouping val="standard"/>
        <c:varyColors val="0"/>
        <c:ser>
          <c:idx val="0"/>
          <c:order val="0"/>
          <c:tx>
            <c:strRef>
              <c:f>'Analizy 2014-2022'!$A$159</c:f>
              <c:strCache>
                <c:ptCount val="1"/>
                <c:pt idx="0">
                  <c:v>Wydatki ogółem</c:v>
                </c:pt>
              </c:strCache>
            </c:strRef>
          </c:tx>
          <c:spPr>
            <a:ln w="38100">
              <a:solidFill>
                <a:srgbClr val="808080"/>
              </a:solidFill>
              <a:prstDash val="solid"/>
            </a:ln>
          </c:spPr>
          <c:marker>
            <c:symbol val="diamond"/>
            <c:size val="7"/>
            <c:spPr>
              <a:solidFill>
                <a:srgbClr val="969696"/>
              </a:solidFill>
              <a:ln>
                <a:solidFill>
                  <a:srgbClr val="969696"/>
                </a:solidFill>
                <a:prstDash val="solid"/>
              </a:ln>
            </c:spPr>
          </c:marker>
          <c:cat>
            <c:numRef>
              <c:f>'Analizy 2014-2022'!$B$158:$J$158</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2014-2022'!$B$159:$J$159</c:f>
              <c:numCache>
                <c:formatCode>#,##0</c:formatCode>
                <c:ptCount val="9"/>
                <c:pt idx="0">
                  <c:v>87334315.150000006</c:v>
                </c:pt>
                <c:pt idx="1">
                  <c:v>89218534.219999999</c:v>
                </c:pt>
                <c:pt idx="2">
                  <c:v>111663679.2</c:v>
                </c:pt>
                <c:pt idx="3">
                  <c:v>117669625.13</c:v>
                </c:pt>
                <c:pt idx="4">
                  <c:v>134845434.06999999</c:v>
                </c:pt>
                <c:pt idx="5">
                  <c:v>148857765.16999999</c:v>
                </c:pt>
                <c:pt idx="6">
                  <c:v>165017381.61000001</c:v>
                </c:pt>
                <c:pt idx="7">
                  <c:v>169981446.72999999</c:v>
                </c:pt>
                <c:pt idx="8">
                  <c:v>214984637</c:v>
                </c:pt>
              </c:numCache>
            </c:numRef>
          </c:val>
          <c:smooth val="0"/>
          <c:extLst>
            <c:ext xmlns:c16="http://schemas.microsoft.com/office/drawing/2014/chart" uri="{C3380CC4-5D6E-409C-BE32-E72D297353CC}">
              <c16:uniqueId val="{00000000-0B50-4170-940B-FDC29AAE4268}"/>
            </c:ext>
          </c:extLst>
        </c:ser>
        <c:ser>
          <c:idx val="1"/>
          <c:order val="1"/>
          <c:tx>
            <c:strRef>
              <c:f>'Analizy 2014-2022'!$A$160</c:f>
              <c:strCache>
                <c:ptCount val="1"/>
                <c:pt idx="0">
                  <c:v>Wydatki bieżące</c:v>
                </c:pt>
              </c:strCache>
            </c:strRef>
          </c:tx>
          <c:spPr>
            <a:ln w="38100">
              <a:solidFill>
                <a:srgbClr val="008000"/>
              </a:solidFill>
              <a:prstDash val="solid"/>
            </a:ln>
          </c:spPr>
          <c:marker>
            <c:symbol val="square"/>
            <c:size val="7"/>
            <c:spPr>
              <a:solidFill>
                <a:srgbClr val="008000"/>
              </a:solidFill>
              <a:ln>
                <a:solidFill>
                  <a:srgbClr val="008000"/>
                </a:solidFill>
                <a:prstDash val="solid"/>
              </a:ln>
            </c:spPr>
          </c:marker>
          <c:cat>
            <c:numRef>
              <c:f>'Analizy 2014-2022'!$B$158:$J$158</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2014-2022'!$B$160:$J$160</c:f>
              <c:numCache>
                <c:formatCode>#,##0</c:formatCode>
                <c:ptCount val="9"/>
                <c:pt idx="0">
                  <c:v>73405204.950000003</c:v>
                </c:pt>
                <c:pt idx="1">
                  <c:v>75588386.920000002</c:v>
                </c:pt>
                <c:pt idx="2">
                  <c:v>97217702.320000008</c:v>
                </c:pt>
                <c:pt idx="3">
                  <c:v>104861393.34999999</c:v>
                </c:pt>
                <c:pt idx="4">
                  <c:v>117278982.52</c:v>
                </c:pt>
                <c:pt idx="5">
                  <c:v>137973433.89999998</c:v>
                </c:pt>
                <c:pt idx="6">
                  <c:v>152200750.28</c:v>
                </c:pt>
                <c:pt idx="7">
                  <c:v>156060720.98999998</c:v>
                </c:pt>
                <c:pt idx="8">
                  <c:v>177561031</c:v>
                </c:pt>
              </c:numCache>
            </c:numRef>
          </c:val>
          <c:smooth val="0"/>
          <c:extLst>
            <c:ext xmlns:c16="http://schemas.microsoft.com/office/drawing/2014/chart" uri="{C3380CC4-5D6E-409C-BE32-E72D297353CC}">
              <c16:uniqueId val="{00000001-0B50-4170-940B-FDC29AAE4268}"/>
            </c:ext>
          </c:extLst>
        </c:ser>
        <c:ser>
          <c:idx val="2"/>
          <c:order val="2"/>
          <c:tx>
            <c:strRef>
              <c:f>'Analizy 2014-2022'!$A$161</c:f>
              <c:strCache>
                <c:ptCount val="1"/>
                <c:pt idx="0">
                  <c:v>Wydatki inwestycjne</c:v>
                </c:pt>
              </c:strCache>
            </c:strRef>
          </c:tx>
          <c:spPr>
            <a:ln w="38100">
              <a:solidFill>
                <a:srgbClr val="0000FF"/>
              </a:solidFill>
              <a:prstDash val="solid"/>
            </a:ln>
          </c:spPr>
          <c:marker>
            <c:symbol val="triangle"/>
            <c:size val="7"/>
            <c:spPr>
              <a:solidFill>
                <a:srgbClr val="0000FF"/>
              </a:solidFill>
              <a:ln>
                <a:solidFill>
                  <a:srgbClr val="0000FF"/>
                </a:solidFill>
                <a:prstDash val="solid"/>
              </a:ln>
            </c:spPr>
          </c:marker>
          <c:cat>
            <c:numRef>
              <c:f>'Analizy 2014-2022'!$B$158:$J$158</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2014-2022'!$B$161:$J$161</c:f>
              <c:numCache>
                <c:formatCode>#,##0</c:formatCode>
                <c:ptCount val="9"/>
                <c:pt idx="0">
                  <c:v>13929110.199999999</c:v>
                </c:pt>
                <c:pt idx="1">
                  <c:v>13630147.300000001</c:v>
                </c:pt>
                <c:pt idx="2">
                  <c:v>14445976.880000001</c:v>
                </c:pt>
                <c:pt idx="3">
                  <c:v>12808231.779999999</c:v>
                </c:pt>
                <c:pt idx="4">
                  <c:v>17566451.550000001</c:v>
                </c:pt>
                <c:pt idx="5">
                  <c:v>10884331.27</c:v>
                </c:pt>
                <c:pt idx="6">
                  <c:v>12816631.33</c:v>
                </c:pt>
                <c:pt idx="7">
                  <c:v>13920725.74</c:v>
                </c:pt>
                <c:pt idx="8">
                  <c:v>37423606</c:v>
                </c:pt>
              </c:numCache>
            </c:numRef>
          </c:val>
          <c:smooth val="0"/>
          <c:extLst>
            <c:ext xmlns:c16="http://schemas.microsoft.com/office/drawing/2014/chart" uri="{C3380CC4-5D6E-409C-BE32-E72D297353CC}">
              <c16:uniqueId val="{00000002-0B50-4170-940B-FDC29AAE4268}"/>
            </c:ext>
          </c:extLst>
        </c:ser>
        <c:ser>
          <c:idx val="3"/>
          <c:order val="3"/>
          <c:tx>
            <c:strRef>
              <c:f>'Analizy 2014-2022'!$A$162</c:f>
              <c:strCache>
                <c:ptCount val="1"/>
                <c:pt idx="0">
                  <c:v>Dochody  ogółem</c:v>
                </c:pt>
              </c:strCache>
            </c:strRef>
          </c:tx>
          <c:spPr>
            <a:ln w="38100">
              <a:solidFill>
                <a:srgbClr val="FF0000"/>
              </a:solidFill>
              <a:prstDash val="dash"/>
            </a:ln>
          </c:spPr>
          <c:marker>
            <c:symbol val="x"/>
            <c:size val="7"/>
            <c:spPr>
              <a:solidFill>
                <a:srgbClr val="FF0000"/>
              </a:solidFill>
              <a:ln>
                <a:solidFill>
                  <a:srgbClr val="FF0000"/>
                </a:solidFill>
              </a:ln>
            </c:spPr>
          </c:marker>
          <c:cat>
            <c:numRef>
              <c:f>'Analizy 2014-2022'!$B$158:$J$158</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2014-2022'!$B$162:$J$162</c:f>
              <c:numCache>
                <c:formatCode>#,##0</c:formatCode>
                <c:ptCount val="9"/>
                <c:pt idx="0">
                  <c:v>88310082.739999995</c:v>
                </c:pt>
                <c:pt idx="1">
                  <c:v>98805683.650000006</c:v>
                </c:pt>
                <c:pt idx="2">
                  <c:v>109271456.73999999</c:v>
                </c:pt>
                <c:pt idx="3">
                  <c:v>119131282.81</c:v>
                </c:pt>
                <c:pt idx="4">
                  <c:v>130223405.14</c:v>
                </c:pt>
                <c:pt idx="5">
                  <c:v>151974532.49000001</c:v>
                </c:pt>
                <c:pt idx="6">
                  <c:v>167287364.08000001</c:v>
                </c:pt>
                <c:pt idx="7">
                  <c:v>180163178.00999999</c:v>
                </c:pt>
                <c:pt idx="8">
                  <c:v>186693819</c:v>
                </c:pt>
              </c:numCache>
            </c:numRef>
          </c:val>
          <c:smooth val="0"/>
          <c:extLst>
            <c:ext xmlns:c16="http://schemas.microsoft.com/office/drawing/2014/chart" uri="{C3380CC4-5D6E-409C-BE32-E72D297353CC}">
              <c16:uniqueId val="{00000003-0B50-4170-940B-FDC29AAE4268}"/>
            </c:ext>
          </c:extLst>
        </c:ser>
        <c:dLbls>
          <c:showLegendKey val="0"/>
          <c:showVal val="0"/>
          <c:showCatName val="0"/>
          <c:showSerName val="0"/>
          <c:showPercent val="0"/>
          <c:showBubbleSize val="0"/>
        </c:dLbls>
        <c:marker val="1"/>
        <c:smooth val="0"/>
        <c:axId val="916109904"/>
        <c:axId val="1"/>
      </c:lineChart>
      <c:catAx>
        <c:axId val="916109904"/>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max val="220000000.00000003"/>
          <c:min val="0"/>
        </c:scaling>
        <c:delete val="0"/>
        <c:axPos val="l"/>
        <c:majorGridlines/>
        <c:numFmt formatCode="#,##0" sourceLinked="1"/>
        <c:majorTickMark val="none"/>
        <c:minorTickMark val="none"/>
        <c:tickLblPos val="nextTo"/>
        <c:crossAx val="916109904"/>
        <c:crosses val="autoZero"/>
        <c:crossBetween val="between"/>
        <c:majorUnit val="20000000"/>
      </c:valAx>
    </c:plotArea>
    <c:legend>
      <c:legendPos val="b"/>
      <c:layout>
        <c:manualLayout>
          <c:xMode val="edge"/>
          <c:yMode val="edge"/>
          <c:x val="5.699486001749781E-2"/>
          <c:y val="0.84368075701063683"/>
          <c:w val="0.88768797645057418"/>
          <c:h val="0.15631924298936314"/>
        </c:manualLayout>
      </c:layout>
      <c:overlay val="0"/>
      <c:txPr>
        <a:bodyPr/>
        <a:lstStyle/>
        <a:p>
          <a:pPr>
            <a:defRPr sz="900"/>
          </a:pPr>
          <a:endParaRPr lang="pl-PL"/>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945504087193457E-2"/>
          <c:y val="0.11387655168548769"/>
          <c:w val="0.88147138964577654"/>
          <c:h val="0.66049681957015149"/>
        </c:manualLayout>
      </c:layout>
      <c:lineChart>
        <c:grouping val="standard"/>
        <c:varyColors val="0"/>
        <c:ser>
          <c:idx val="0"/>
          <c:order val="0"/>
          <c:tx>
            <c:strRef>
              <c:f>'Analizy 2014-2022'!$A$173</c:f>
              <c:strCache>
                <c:ptCount val="1"/>
                <c:pt idx="0">
                  <c:v>Wydatki ogółem</c:v>
                </c:pt>
              </c:strCache>
            </c:strRef>
          </c:tx>
          <c:spPr>
            <a:ln>
              <a:solidFill>
                <a:schemeClr val="tx1">
                  <a:lumMod val="95000"/>
                  <a:lumOff val="5000"/>
                </a:schemeClr>
              </a:solidFill>
            </a:ln>
          </c:spPr>
          <c:marker>
            <c:spPr>
              <a:solidFill>
                <a:schemeClr val="accent1">
                  <a:lumMod val="50000"/>
                </a:schemeClr>
              </a:solidFill>
              <a:ln>
                <a:solidFill>
                  <a:schemeClr val="accent3">
                    <a:lumMod val="75000"/>
                  </a:schemeClr>
                </a:solidFill>
              </a:ln>
            </c:spPr>
          </c:marker>
          <c:cat>
            <c:numRef>
              <c:f>'Analizy 2014-2022'!$B$172:$J$172</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2014-2022'!$B$173:$J$173</c:f>
              <c:numCache>
                <c:formatCode>#,##0</c:formatCode>
                <c:ptCount val="9"/>
                <c:pt idx="0">
                  <c:v>100</c:v>
                </c:pt>
                <c:pt idx="1">
                  <c:v>100</c:v>
                </c:pt>
                <c:pt idx="2">
                  <c:v>100</c:v>
                </c:pt>
                <c:pt idx="3">
                  <c:v>100</c:v>
                </c:pt>
                <c:pt idx="4">
                  <c:v>100</c:v>
                </c:pt>
                <c:pt idx="5">
                  <c:v>100</c:v>
                </c:pt>
                <c:pt idx="6">
                  <c:v>100</c:v>
                </c:pt>
                <c:pt idx="7">
                  <c:v>100</c:v>
                </c:pt>
                <c:pt idx="8">
                  <c:v>100</c:v>
                </c:pt>
              </c:numCache>
            </c:numRef>
          </c:val>
          <c:smooth val="0"/>
          <c:extLst>
            <c:ext xmlns:c16="http://schemas.microsoft.com/office/drawing/2014/chart" uri="{C3380CC4-5D6E-409C-BE32-E72D297353CC}">
              <c16:uniqueId val="{00000000-5EE8-4ECE-BD1F-31085907C30D}"/>
            </c:ext>
          </c:extLst>
        </c:ser>
        <c:ser>
          <c:idx val="1"/>
          <c:order val="1"/>
          <c:tx>
            <c:strRef>
              <c:f>'Analizy 2014-2022'!$A$174</c:f>
              <c:strCache>
                <c:ptCount val="1"/>
                <c:pt idx="0">
                  <c:v>Wydatki bieżące</c:v>
                </c:pt>
              </c:strCache>
            </c:strRef>
          </c:tx>
          <c:spPr>
            <a:ln w="38100">
              <a:solidFill>
                <a:srgbClr val="FF0000"/>
              </a:solidFill>
              <a:prstDash val="solid"/>
            </a:ln>
          </c:spPr>
          <c:marker>
            <c:symbol val="square"/>
            <c:size val="7"/>
            <c:spPr>
              <a:solidFill>
                <a:srgbClr val="FF0000"/>
              </a:solidFill>
              <a:ln>
                <a:solidFill>
                  <a:srgbClr val="FF0000"/>
                </a:solidFill>
              </a:ln>
            </c:spPr>
          </c:marker>
          <c:cat>
            <c:numRef>
              <c:f>'Analizy 2014-2022'!$B$172:$J$172</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2014-2022'!$B$174:$J$174</c:f>
              <c:numCache>
                <c:formatCode>#,##0.00</c:formatCode>
                <c:ptCount val="9"/>
                <c:pt idx="0">
                  <c:v>84.050816479093896</c:v>
                </c:pt>
                <c:pt idx="1">
                  <c:v>84.722740158014673</c:v>
                </c:pt>
                <c:pt idx="2">
                  <c:v>87.062958176287637</c:v>
                </c:pt>
                <c:pt idx="3">
                  <c:v>89.115090860662121</c:v>
                </c:pt>
                <c:pt idx="4">
                  <c:v>86.972898510689632</c:v>
                </c:pt>
                <c:pt idx="5">
                  <c:v>92.68809977257834</c:v>
                </c:pt>
                <c:pt idx="6">
                  <c:v>92.233162831118804</c:v>
                </c:pt>
                <c:pt idx="7">
                  <c:v>91.8104440173922</c:v>
                </c:pt>
                <c:pt idx="8">
                  <c:v>82.592427755663294</c:v>
                </c:pt>
              </c:numCache>
            </c:numRef>
          </c:val>
          <c:smooth val="0"/>
          <c:extLst>
            <c:ext xmlns:c16="http://schemas.microsoft.com/office/drawing/2014/chart" uri="{C3380CC4-5D6E-409C-BE32-E72D297353CC}">
              <c16:uniqueId val="{00000001-5EE8-4ECE-BD1F-31085907C30D}"/>
            </c:ext>
          </c:extLst>
        </c:ser>
        <c:ser>
          <c:idx val="2"/>
          <c:order val="2"/>
          <c:tx>
            <c:strRef>
              <c:f>'Analizy 2014-2022'!$A$175</c:f>
              <c:strCache>
                <c:ptCount val="1"/>
                <c:pt idx="0">
                  <c:v>Wydatki inwestycyjne</c:v>
                </c:pt>
              </c:strCache>
            </c:strRef>
          </c:tx>
          <c:spPr>
            <a:ln w="38100">
              <a:solidFill>
                <a:schemeClr val="accent1">
                  <a:lumMod val="50000"/>
                </a:schemeClr>
              </a:solidFill>
              <a:prstDash val="solid"/>
            </a:ln>
          </c:spPr>
          <c:marker>
            <c:symbol val="triangle"/>
            <c:size val="7"/>
            <c:spPr>
              <a:solidFill>
                <a:srgbClr val="FFFF00"/>
              </a:solidFill>
              <a:ln>
                <a:solidFill>
                  <a:srgbClr val="0070C0"/>
                </a:solidFill>
              </a:ln>
            </c:spPr>
          </c:marker>
          <c:cat>
            <c:numRef>
              <c:f>'Analizy 2014-2022'!$B$172:$J$172</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2014-2022'!$B$175:$J$175</c:f>
              <c:numCache>
                <c:formatCode>#,##0.00</c:formatCode>
                <c:ptCount val="9"/>
                <c:pt idx="0">
                  <c:v>15.949183520906104</c:v>
                </c:pt>
                <c:pt idx="1">
                  <c:v>15.277259841985327</c:v>
                </c:pt>
                <c:pt idx="2">
                  <c:v>12.937041823712363</c:v>
                </c:pt>
                <c:pt idx="3">
                  <c:v>10.884909139337879</c:v>
                </c:pt>
                <c:pt idx="4">
                  <c:v>13.027101489310368</c:v>
                </c:pt>
                <c:pt idx="5">
                  <c:v>7.3119002274216598</c:v>
                </c:pt>
                <c:pt idx="6">
                  <c:v>7.7668371688811959</c:v>
                </c:pt>
                <c:pt idx="7">
                  <c:v>8.1895559826077999</c:v>
                </c:pt>
                <c:pt idx="8">
                  <c:v>17.407572244336706</c:v>
                </c:pt>
              </c:numCache>
            </c:numRef>
          </c:val>
          <c:smooth val="0"/>
          <c:extLst>
            <c:ext xmlns:c16="http://schemas.microsoft.com/office/drawing/2014/chart" uri="{C3380CC4-5D6E-409C-BE32-E72D297353CC}">
              <c16:uniqueId val="{00000002-5EE8-4ECE-BD1F-31085907C30D}"/>
            </c:ext>
          </c:extLst>
        </c:ser>
        <c:dLbls>
          <c:showLegendKey val="0"/>
          <c:showVal val="0"/>
          <c:showCatName val="0"/>
          <c:showSerName val="0"/>
          <c:showPercent val="0"/>
          <c:showBubbleSize val="0"/>
        </c:dLbls>
        <c:marker val="1"/>
        <c:smooth val="0"/>
        <c:axId val="916127944"/>
        <c:axId val="1"/>
      </c:lineChart>
      <c:catAx>
        <c:axId val="916127944"/>
        <c:scaling>
          <c:orientation val="minMax"/>
        </c:scaling>
        <c:delete val="0"/>
        <c:axPos val="b"/>
        <c:numFmt formatCode="0" sourceLinked="1"/>
        <c:majorTickMark val="none"/>
        <c:minorTickMark val="none"/>
        <c:tickLblPos val="nextTo"/>
        <c:crossAx val="1"/>
        <c:crosses val="autoZero"/>
        <c:auto val="1"/>
        <c:lblAlgn val="ctr"/>
        <c:lblOffset val="100"/>
        <c:noMultiLvlLbl val="0"/>
      </c:catAx>
      <c:valAx>
        <c:axId val="1"/>
        <c:scaling>
          <c:orientation val="minMax"/>
          <c:max val="100"/>
          <c:min val="0"/>
        </c:scaling>
        <c:delete val="0"/>
        <c:axPos val="l"/>
        <c:majorGridlines/>
        <c:numFmt formatCode="#,##0" sourceLinked="1"/>
        <c:majorTickMark val="none"/>
        <c:minorTickMark val="none"/>
        <c:tickLblPos val="nextTo"/>
        <c:crossAx val="916127944"/>
        <c:crosses val="autoZero"/>
        <c:crossBetween val="between"/>
        <c:majorUnit val="10"/>
        <c:minorUnit val="2"/>
      </c:valAx>
    </c:plotArea>
    <c:legend>
      <c:legendPos val="b"/>
      <c:layout>
        <c:manualLayout>
          <c:xMode val="edge"/>
          <c:yMode val="edge"/>
          <c:x val="0.1248028687258326"/>
          <c:y val="0.89202481873673833"/>
          <c:w val="0.80647317123409512"/>
          <c:h val="6.963791128318908E-2"/>
        </c:manualLayout>
      </c:layou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 2014-2022'!$BQ$196</c:f>
              <c:strCache>
                <c:ptCount val="1"/>
                <c:pt idx="0">
                  <c:v>2014</c:v>
                </c:pt>
              </c:strCache>
            </c:strRef>
          </c:tx>
          <c:spPr>
            <a:solidFill>
              <a:schemeClr val="accent1"/>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2014-2022'!$BQ$197:$BQ$208</c:f>
              <c:numCache>
                <c:formatCode>#,##0</c:formatCode>
                <c:ptCount val="12"/>
                <c:pt idx="0">
                  <c:v>179448.39</c:v>
                </c:pt>
                <c:pt idx="1">
                  <c:v>2767103.92</c:v>
                </c:pt>
                <c:pt idx="2">
                  <c:v>3446259.59</c:v>
                </c:pt>
                <c:pt idx="3">
                  <c:v>7547816.6799999997</c:v>
                </c:pt>
                <c:pt idx="4">
                  <c:v>1282274.44</c:v>
                </c:pt>
                <c:pt idx="5">
                  <c:v>1138936.43</c:v>
                </c:pt>
                <c:pt idx="6">
                  <c:v>31335106.52</c:v>
                </c:pt>
                <c:pt idx="7">
                  <c:v>936276.25</c:v>
                </c:pt>
                <c:pt idx="8">
                  <c:v>10942135.560000001</c:v>
                </c:pt>
                <c:pt idx="9">
                  <c:v>4942717.58</c:v>
                </c:pt>
                <c:pt idx="10">
                  <c:v>2241729.17</c:v>
                </c:pt>
                <c:pt idx="11">
                  <c:v>4503876.3</c:v>
                </c:pt>
              </c:numCache>
            </c:numRef>
          </c:val>
          <c:extLst>
            <c:ext xmlns:c16="http://schemas.microsoft.com/office/drawing/2014/chart" uri="{C3380CC4-5D6E-409C-BE32-E72D297353CC}">
              <c16:uniqueId val="{00000000-91C1-4889-A3C3-A6814D848EB0}"/>
            </c:ext>
          </c:extLst>
        </c:ser>
        <c:ser>
          <c:idx val="1"/>
          <c:order val="1"/>
          <c:tx>
            <c:strRef>
              <c:f>'wykresy 2014-2022'!$BR$196</c:f>
              <c:strCache>
                <c:ptCount val="1"/>
                <c:pt idx="0">
                  <c:v>2015</c:v>
                </c:pt>
              </c:strCache>
            </c:strRef>
          </c:tx>
          <c:spPr>
            <a:solidFill>
              <a:schemeClr val="accent2"/>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2014-2022'!$BR$197:$BR$208</c:f>
              <c:numCache>
                <c:formatCode>#,##0</c:formatCode>
                <c:ptCount val="12"/>
                <c:pt idx="0">
                  <c:v>208846.07</c:v>
                </c:pt>
                <c:pt idx="1">
                  <c:v>1923425.99</c:v>
                </c:pt>
                <c:pt idx="2">
                  <c:v>3664700.36</c:v>
                </c:pt>
                <c:pt idx="3">
                  <c:v>7735043.9500000002</c:v>
                </c:pt>
                <c:pt idx="4">
                  <c:v>1229300.21</c:v>
                </c:pt>
                <c:pt idx="5">
                  <c:v>858625.11</c:v>
                </c:pt>
                <c:pt idx="6">
                  <c:v>32674187.140000001</c:v>
                </c:pt>
                <c:pt idx="7">
                  <c:v>42250.06</c:v>
                </c:pt>
                <c:pt idx="8">
                  <c:v>11680833.34</c:v>
                </c:pt>
                <c:pt idx="9">
                  <c:v>5498058.1299999999</c:v>
                </c:pt>
                <c:pt idx="10">
                  <c:v>2560024.86</c:v>
                </c:pt>
                <c:pt idx="11">
                  <c:v>4691106.84</c:v>
                </c:pt>
              </c:numCache>
            </c:numRef>
          </c:val>
          <c:extLst>
            <c:ext xmlns:c16="http://schemas.microsoft.com/office/drawing/2014/chart" uri="{C3380CC4-5D6E-409C-BE32-E72D297353CC}">
              <c16:uniqueId val="{00000001-91C1-4889-A3C3-A6814D848EB0}"/>
            </c:ext>
          </c:extLst>
        </c:ser>
        <c:ser>
          <c:idx val="2"/>
          <c:order val="2"/>
          <c:tx>
            <c:strRef>
              <c:f>'wykresy 2014-2022'!$BS$196</c:f>
              <c:strCache>
                <c:ptCount val="1"/>
                <c:pt idx="0">
                  <c:v>2016</c:v>
                </c:pt>
              </c:strCache>
            </c:strRef>
          </c:tx>
          <c:spPr>
            <a:solidFill>
              <a:schemeClr val="accent3"/>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2014-2022'!$BS$197:$BS$208</c:f>
              <c:numCache>
                <c:formatCode>#,##0</c:formatCode>
                <c:ptCount val="12"/>
                <c:pt idx="0">
                  <c:v>264869.98</c:v>
                </c:pt>
                <c:pt idx="1">
                  <c:v>3189162.43</c:v>
                </c:pt>
                <c:pt idx="2">
                  <c:v>4463256.62</c:v>
                </c:pt>
                <c:pt idx="3">
                  <c:v>8063125.5</c:v>
                </c:pt>
                <c:pt idx="4">
                  <c:v>1235952.3700000001</c:v>
                </c:pt>
                <c:pt idx="5">
                  <c:v>789640.38</c:v>
                </c:pt>
                <c:pt idx="6">
                  <c:v>36619947.689999998</c:v>
                </c:pt>
                <c:pt idx="7">
                  <c:v>93392.88</c:v>
                </c:pt>
                <c:pt idx="8">
                  <c:v>26250956.16</c:v>
                </c:pt>
                <c:pt idx="9">
                  <c:v>5421593.3399999999</c:v>
                </c:pt>
                <c:pt idx="10">
                  <c:v>3019070.36</c:v>
                </c:pt>
                <c:pt idx="11">
                  <c:v>4981543.59</c:v>
                </c:pt>
              </c:numCache>
            </c:numRef>
          </c:val>
          <c:extLst>
            <c:ext xmlns:c16="http://schemas.microsoft.com/office/drawing/2014/chart" uri="{C3380CC4-5D6E-409C-BE32-E72D297353CC}">
              <c16:uniqueId val="{00000002-91C1-4889-A3C3-A6814D848EB0}"/>
            </c:ext>
          </c:extLst>
        </c:ser>
        <c:ser>
          <c:idx val="3"/>
          <c:order val="3"/>
          <c:tx>
            <c:strRef>
              <c:f>'wykresy 2014-2022'!$BT$196</c:f>
              <c:strCache>
                <c:ptCount val="1"/>
                <c:pt idx="0">
                  <c:v>2017</c:v>
                </c:pt>
              </c:strCache>
            </c:strRef>
          </c:tx>
          <c:spPr>
            <a:solidFill>
              <a:schemeClr val="accent4"/>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2014-2022'!$BT$197:$BT$208</c:f>
              <c:numCache>
                <c:formatCode>#,##0</c:formatCode>
                <c:ptCount val="12"/>
                <c:pt idx="0">
                  <c:v>231285.32</c:v>
                </c:pt>
                <c:pt idx="1">
                  <c:v>3599813.72</c:v>
                </c:pt>
                <c:pt idx="2">
                  <c:v>3161392.55</c:v>
                </c:pt>
                <c:pt idx="3">
                  <c:v>9028043.5999999996</c:v>
                </c:pt>
                <c:pt idx="4">
                  <c:v>1108082.32</c:v>
                </c:pt>
                <c:pt idx="5">
                  <c:v>748260.2</c:v>
                </c:pt>
                <c:pt idx="6">
                  <c:v>37914881.579999998</c:v>
                </c:pt>
                <c:pt idx="7">
                  <c:v>0</c:v>
                </c:pt>
                <c:pt idx="8">
                  <c:v>32256350.41</c:v>
                </c:pt>
                <c:pt idx="9">
                  <c:v>5539588.6600000001</c:v>
                </c:pt>
                <c:pt idx="10">
                  <c:v>3156375.21</c:v>
                </c:pt>
                <c:pt idx="11">
                  <c:v>5081877.21</c:v>
                </c:pt>
              </c:numCache>
            </c:numRef>
          </c:val>
          <c:extLst>
            <c:ext xmlns:c16="http://schemas.microsoft.com/office/drawing/2014/chart" uri="{C3380CC4-5D6E-409C-BE32-E72D297353CC}">
              <c16:uniqueId val="{00000003-91C1-4889-A3C3-A6814D848EB0}"/>
            </c:ext>
          </c:extLst>
        </c:ser>
        <c:ser>
          <c:idx val="4"/>
          <c:order val="4"/>
          <c:tx>
            <c:strRef>
              <c:f>'wykresy 2014-2022'!$BU$196</c:f>
              <c:strCache>
                <c:ptCount val="1"/>
                <c:pt idx="0">
                  <c:v>2018</c:v>
                </c:pt>
              </c:strCache>
            </c:strRef>
          </c:tx>
          <c:spPr>
            <a:solidFill>
              <a:schemeClr val="accent5"/>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2014-2022'!$BU$197:$BU$208</c:f>
              <c:numCache>
                <c:formatCode>#,##0</c:formatCode>
                <c:ptCount val="12"/>
                <c:pt idx="0">
                  <c:v>235054.31</c:v>
                </c:pt>
                <c:pt idx="1">
                  <c:v>4255549.3099999996</c:v>
                </c:pt>
                <c:pt idx="2">
                  <c:v>3234097.29</c:v>
                </c:pt>
                <c:pt idx="3">
                  <c:v>10388735.289999999</c:v>
                </c:pt>
                <c:pt idx="4">
                  <c:v>1182010.72</c:v>
                </c:pt>
                <c:pt idx="5">
                  <c:v>693892.98</c:v>
                </c:pt>
                <c:pt idx="6">
                  <c:v>42047812.07</c:v>
                </c:pt>
                <c:pt idx="7">
                  <c:v>30318.39</c:v>
                </c:pt>
                <c:pt idx="8">
                  <c:v>34754342.969999999</c:v>
                </c:pt>
                <c:pt idx="9">
                  <c:v>7778473.9299999997</c:v>
                </c:pt>
                <c:pt idx="10">
                  <c:v>3580475.19</c:v>
                </c:pt>
                <c:pt idx="11">
                  <c:v>5553599.1600000001</c:v>
                </c:pt>
              </c:numCache>
            </c:numRef>
          </c:val>
          <c:extLst>
            <c:ext xmlns:c16="http://schemas.microsoft.com/office/drawing/2014/chart" uri="{C3380CC4-5D6E-409C-BE32-E72D297353CC}">
              <c16:uniqueId val="{00000004-91C1-4889-A3C3-A6814D848EB0}"/>
            </c:ext>
          </c:extLst>
        </c:ser>
        <c:ser>
          <c:idx val="5"/>
          <c:order val="5"/>
          <c:tx>
            <c:strRef>
              <c:f>'wykresy 2014-2022'!$BV$196</c:f>
              <c:strCache>
                <c:ptCount val="1"/>
                <c:pt idx="0">
                  <c:v>2019</c:v>
                </c:pt>
              </c:strCache>
            </c:strRef>
          </c:tx>
          <c:spPr>
            <a:solidFill>
              <a:schemeClr val="accent6"/>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2014-2022'!$BV$197:$BV$208</c:f>
              <c:numCache>
                <c:formatCode>#,##0</c:formatCode>
                <c:ptCount val="12"/>
                <c:pt idx="0">
                  <c:v>267976.38</c:v>
                </c:pt>
                <c:pt idx="1">
                  <c:v>3988181</c:v>
                </c:pt>
                <c:pt idx="2">
                  <c:v>3663189.49</c:v>
                </c:pt>
                <c:pt idx="3">
                  <c:v>10371135.300000001</c:v>
                </c:pt>
                <c:pt idx="4">
                  <c:v>1356896.38</c:v>
                </c:pt>
                <c:pt idx="5">
                  <c:v>849232.41</c:v>
                </c:pt>
                <c:pt idx="6">
                  <c:v>48025960.840000004</c:v>
                </c:pt>
                <c:pt idx="7">
                  <c:v>23088.799999999999</c:v>
                </c:pt>
                <c:pt idx="8">
                  <c:v>43510750.840000004</c:v>
                </c:pt>
                <c:pt idx="9">
                  <c:v>12397919.26</c:v>
                </c:pt>
                <c:pt idx="10">
                  <c:v>3668377.06</c:v>
                </c:pt>
                <c:pt idx="11">
                  <c:v>6271927.0899999999</c:v>
                </c:pt>
              </c:numCache>
            </c:numRef>
          </c:val>
          <c:extLst>
            <c:ext xmlns:c16="http://schemas.microsoft.com/office/drawing/2014/chart" uri="{C3380CC4-5D6E-409C-BE32-E72D297353CC}">
              <c16:uniqueId val="{00000005-91C1-4889-A3C3-A6814D848EB0}"/>
            </c:ext>
          </c:extLst>
        </c:ser>
        <c:ser>
          <c:idx val="6"/>
          <c:order val="6"/>
          <c:tx>
            <c:strRef>
              <c:f>'wykresy 2014-2022'!$BW$196</c:f>
              <c:strCache>
                <c:ptCount val="1"/>
                <c:pt idx="0">
                  <c:v>2020</c:v>
                </c:pt>
              </c:strCache>
            </c:strRef>
          </c:tx>
          <c:spPr>
            <a:solidFill>
              <a:schemeClr val="accent1">
                <a:lumMod val="60000"/>
              </a:schemeClr>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2014-2022'!$BW$197:$BW$208</c:f>
              <c:numCache>
                <c:formatCode>#,##0</c:formatCode>
                <c:ptCount val="12"/>
                <c:pt idx="0">
                  <c:v>281198.28999999998</c:v>
                </c:pt>
                <c:pt idx="1">
                  <c:v>3940384.09</c:v>
                </c:pt>
                <c:pt idx="2">
                  <c:v>3509812.8</c:v>
                </c:pt>
                <c:pt idx="3">
                  <c:v>9852639.9100000001</c:v>
                </c:pt>
                <c:pt idx="4">
                  <c:v>1542541.44</c:v>
                </c:pt>
                <c:pt idx="5">
                  <c:v>678502.81</c:v>
                </c:pt>
                <c:pt idx="6">
                  <c:v>49410966.960000001</c:v>
                </c:pt>
                <c:pt idx="7">
                  <c:v>0</c:v>
                </c:pt>
                <c:pt idx="8">
                  <c:v>51853268.780000001</c:v>
                </c:pt>
                <c:pt idx="9">
                  <c:v>18823961.559999999</c:v>
                </c:pt>
                <c:pt idx="10">
                  <c:v>3240460.62</c:v>
                </c:pt>
                <c:pt idx="11">
                  <c:v>5892629.6900000004</c:v>
                </c:pt>
              </c:numCache>
            </c:numRef>
          </c:val>
          <c:extLst>
            <c:ext xmlns:c16="http://schemas.microsoft.com/office/drawing/2014/chart" uri="{C3380CC4-5D6E-409C-BE32-E72D297353CC}">
              <c16:uniqueId val="{00000006-91C1-4889-A3C3-A6814D848EB0}"/>
            </c:ext>
          </c:extLst>
        </c:ser>
        <c:ser>
          <c:idx val="7"/>
          <c:order val="7"/>
          <c:tx>
            <c:strRef>
              <c:f>'wykresy 2014-2022'!$BX$196</c:f>
              <c:strCache>
                <c:ptCount val="1"/>
                <c:pt idx="0">
                  <c:v>2021</c:v>
                </c:pt>
              </c:strCache>
            </c:strRef>
          </c:tx>
          <c:spPr>
            <a:solidFill>
              <a:schemeClr val="accent2">
                <a:lumMod val="60000"/>
              </a:schemeClr>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2014-2022'!$BX$197:$BX$208</c:f>
              <c:numCache>
                <c:formatCode>#,##0</c:formatCode>
                <c:ptCount val="12"/>
                <c:pt idx="0">
                  <c:v>277987.33</c:v>
                </c:pt>
                <c:pt idx="1">
                  <c:v>4326558.4800000004</c:v>
                </c:pt>
                <c:pt idx="2">
                  <c:v>3442921.63</c:v>
                </c:pt>
                <c:pt idx="3">
                  <c:v>10436906.210000001</c:v>
                </c:pt>
                <c:pt idx="4">
                  <c:v>1555697.52</c:v>
                </c:pt>
                <c:pt idx="5">
                  <c:v>407351.99</c:v>
                </c:pt>
                <c:pt idx="6">
                  <c:v>55216259.020000003</c:v>
                </c:pt>
                <c:pt idx="7">
                  <c:v>94559.31</c:v>
                </c:pt>
                <c:pt idx="8">
                  <c:v>51737490.029999994</c:v>
                </c:pt>
                <c:pt idx="9">
                  <c:v>14888570.289999999</c:v>
                </c:pt>
                <c:pt idx="10">
                  <c:v>3439854.21</c:v>
                </c:pt>
                <c:pt idx="11">
                  <c:v>5922474.5800000001</c:v>
                </c:pt>
              </c:numCache>
            </c:numRef>
          </c:val>
          <c:extLst>
            <c:ext xmlns:c16="http://schemas.microsoft.com/office/drawing/2014/chart" uri="{C3380CC4-5D6E-409C-BE32-E72D297353CC}">
              <c16:uniqueId val="{00000007-91C1-4889-A3C3-A6814D848EB0}"/>
            </c:ext>
          </c:extLst>
        </c:ser>
        <c:ser>
          <c:idx val="8"/>
          <c:order val="8"/>
          <c:tx>
            <c:strRef>
              <c:f>'wykresy 2014-2022'!$BY$196</c:f>
              <c:strCache>
                <c:ptCount val="1"/>
                <c:pt idx="0">
                  <c:v>2022</c:v>
                </c:pt>
              </c:strCache>
            </c:strRef>
          </c:tx>
          <c:spPr>
            <a:solidFill>
              <a:schemeClr val="accent3">
                <a:lumMod val="60000"/>
              </a:schemeClr>
            </a:solidFill>
            <a:ln>
              <a:noFill/>
            </a:ln>
            <a:effectLst/>
          </c:spPr>
          <c:invertIfNegative val="0"/>
          <c:cat>
            <c:strRef>
              <c:f>'wykresy 2014-2022'!$BP$197:$BP$208</c:f>
              <c:strCache>
                <c:ptCount val="12"/>
                <c:pt idx="0">
                  <c:v>Rolnictwo, łowiectwo i leśnictwo</c:v>
                </c:pt>
                <c:pt idx="1">
                  <c:v>Transport i łączność</c:v>
                </c:pt>
                <c:pt idx="2">
                  <c:v>Gospodarka mieszkaniowa</c:v>
                </c:pt>
                <c:pt idx="3">
                  <c:v>Administracja publiczna</c:v>
                </c:pt>
                <c:pt idx="4">
                  <c:v>Bezpieczeństwo publiczne</c:v>
                </c:pt>
                <c:pt idx="5">
                  <c:v>Obsługa długu publicznego</c:v>
                </c:pt>
                <c:pt idx="6">
                  <c:v>Oświata i wychowanie</c:v>
                </c:pt>
                <c:pt idx="7">
                  <c:v>Ochrona Zdrowia</c:v>
                </c:pt>
                <c:pt idx="8">
                  <c:v>Pomoc społeczna + Rodzina</c:v>
                </c:pt>
                <c:pt idx="9">
                  <c:v>Gospodarka  komunalna i ochr. środ.</c:v>
                </c:pt>
                <c:pt idx="10">
                  <c:v>Kultura i ochrona dziedzictwa nar.</c:v>
                </c:pt>
                <c:pt idx="11">
                  <c:v>Kultura fiz. i sport</c:v>
                </c:pt>
              </c:strCache>
            </c:strRef>
          </c:cat>
          <c:val>
            <c:numRef>
              <c:f>'wykresy 2014-2022'!$BY$197:$BY$208</c:f>
              <c:numCache>
                <c:formatCode>#,##0</c:formatCode>
                <c:ptCount val="12"/>
                <c:pt idx="0">
                  <c:v>329677</c:v>
                </c:pt>
                <c:pt idx="1">
                  <c:v>7568396</c:v>
                </c:pt>
                <c:pt idx="2">
                  <c:v>4138845</c:v>
                </c:pt>
                <c:pt idx="3">
                  <c:v>12822721</c:v>
                </c:pt>
                <c:pt idx="4">
                  <c:v>2017276</c:v>
                </c:pt>
                <c:pt idx="5">
                  <c:v>2001844</c:v>
                </c:pt>
                <c:pt idx="6">
                  <c:v>68842481</c:v>
                </c:pt>
                <c:pt idx="7">
                  <c:v>1722151</c:v>
                </c:pt>
                <c:pt idx="8">
                  <c:v>45990531</c:v>
                </c:pt>
                <c:pt idx="9">
                  <c:v>17362958</c:v>
                </c:pt>
                <c:pt idx="10">
                  <c:v>3736411</c:v>
                </c:pt>
                <c:pt idx="11">
                  <c:v>6987133</c:v>
                </c:pt>
              </c:numCache>
            </c:numRef>
          </c:val>
          <c:extLst>
            <c:ext xmlns:c16="http://schemas.microsoft.com/office/drawing/2014/chart" uri="{C3380CC4-5D6E-409C-BE32-E72D297353CC}">
              <c16:uniqueId val="{00000008-91C1-4889-A3C3-A6814D848EB0}"/>
            </c:ext>
          </c:extLst>
        </c:ser>
        <c:dLbls>
          <c:showLegendKey val="0"/>
          <c:showVal val="0"/>
          <c:showCatName val="0"/>
          <c:showSerName val="0"/>
          <c:showPercent val="0"/>
          <c:showBubbleSize val="0"/>
        </c:dLbls>
        <c:gapWidth val="219"/>
        <c:overlap val="-27"/>
        <c:axId val="1153920672"/>
        <c:axId val="1153921000"/>
      </c:barChart>
      <c:catAx>
        <c:axId val="115392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153921000"/>
        <c:crosses val="autoZero"/>
        <c:auto val="1"/>
        <c:lblAlgn val="ctr"/>
        <c:lblOffset val="100"/>
        <c:noMultiLvlLbl val="0"/>
      </c:catAx>
      <c:valAx>
        <c:axId val="1153921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15392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824012165895447E-2"/>
          <c:y val="6.9867174174281468E-2"/>
          <c:w val="0.86415200490370103"/>
          <c:h val="0.73400044005724518"/>
        </c:manualLayout>
      </c:layout>
      <c:lineChart>
        <c:grouping val="standard"/>
        <c:varyColors val="0"/>
        <c:ser>
          <c:idx val="0"/>
          <c:order val="0"/>
          <c:tx>
            <c:strRef>
              <c:f>'Analizy 2014-2022'!$A$219</c:f>
              <c:strCache>
                <c:ptCount val="1"/>
                <c:pt idx="0">
                  <c:v>ceny bieżace</c:v>
                </c:pt>
              </c:strCache>
            </c:strRef>
          </c:tx>
          <c:spPr>
            <a:ln w="38100">
              <a:solidFill>
                <a:srgbClr val="0000FF"/>
              </a:solidFill>
              <a:prstDash val="solid"/>
            </a:ln>
          </c:spPr>
          <c:marker>
            <c:symbol val="diamond"/>
            <c:size val="7"/>
            <c:spPr>
              <a:solidFill>
                <a:srgbClr val="0000FF"/>
              </a:solidFill>
              <a:ln>
                <a:solidFill>
                  <a:srgbClr val="0000FF"/>
                </a:solidFill>
                <a:prstDash val="solid"/>
              </a:ln>
            </c:spPr>
          </c:marker>
          <c:cat>
            <c:numRef>
              <c:f>'Analizy 2014-2022'!$B$218:$J$218</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2014-2022'!$B$219:$J$219</c:f>
              <c:numCache>
                <c:formatCode>#,##0</c:formatCode>
                <c:ptCount val="9"/>
                <c:pt idx="0">
                  <c:v>13929110.199999999</c:v>
                </c:pt>
                <c:pt idx="1">
                  <c:v>13630147.300000001</c:v>
                </c:pt>
                <c:pt idx="2">
                  <c:v>14445976.880000001</c:v>
                </c:pt>
                <c:pt idx="3">
                  <c:v>12808231.779999999</c:v>
                </c:pt>
                <c:pt idx="4">
                  <c:v>17566451.550000001</c:v>
                </c:pt>
                <c:pt idx="5">
                  <c:v>10884331.27</c:v>
                </c:pt>
                <c:pt idx="6">
                  <c:v>12816631.33</c:v>
                </c:pt>
                <c:pt idx="7">
                  <c:v>13920725.74</c:v>
                </c:pt>
                <c:pt idx="8">
                  <c:v>37423606</c:v>
                </c:pt>
              </c:numCache>
            </c:numRef>
          </c:val>
          <c:smooth val="0"/>
          <c:extLst>
            <c:ext xmlns:c16="http://schemas.microsoft.com/office/drawing/2014/chart" uri="{C3380CC4-5D6E-409C-BE32-E72D297353CC}">
              <c16:uniqueId val="{00000000-EA13-4CCF-A6ED-A17E91386EB8}"/>
            </c:ext>
          </c:extLst>
        </c:ser>
        <c:ser>
          <c:idx val="1"/>
          <c:order val="1"/>
          <c:tx>
            <c:strRef>
              <c:f>'Analizy 2014-2022'!$A$220</c:f>
              <c:strCache>
                <c:ptCount val="1"/>
                <c:pt idx="0">
                  <c:v>ceny stałe</c:v>
                </c:pt>
              </c:strCache>
            </c:strRef>
          </c:tx>
          <c:spPr>
            <a:ln w="38100">
              <a:solidFill>
                <a:srgbClr val="FF0000"/>
              </a:solidFill>
              <a:prstDash val="solid"/>
            </a:ln>
          </c:spPr>
          <c:marker>
            <c:symbol val="square"/>
            <c:size val="7"/>
            <c:spPr>
              <a:solidFill>
                <a:srgbClr val="FF0000"/>
              </a:solidFill>
              <a:ln>
                <a:solidFill>
                  <a:srgbClr val="FF0000"/>
                </a:solidFill>
              </a:ln>
            </c:spPr>
          </c:marker>
          <c:cat>
            <c:numRef>
              <c:f>'Analizy 2014-2022'!$B$218:$J$218</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2014-2022'!$B$220:$J$220</c:f>
              <c:numCache>
                <c:formatCode>#,##0</c:formatCode>
                <c:ptCount val="9"/>
                <c:pt idx="0">
                  <c:v>15808147.16598</c:v>
                </c:pt>
                <c:pt idx="1">
                  <c:v>15468854.170770001</c:v>
                </c:pt>
                <c:pt idx="2">
                  <c:v>16543532.722976001</c:v>
                </c:pt>
                <c:pt idx="3">
                  <c:v>12984959.76210044</c:v>
                </c:pt>
                <c:pt idx="4">
                  <c:v>19841307.025725</c:v>
                </c:pt>
                <c:pt idx="5">
                  <c:v>12100111.072858999</c:v>
                </c:pt>
                <c:pt idx="6">
                  <c:v>13927833.266310999</c:v>
                </c:pt>
                <c:pt idx="7">
                  <c:v>14630682.752739999</c:v>
                </c:pt>
                <c:pt idx="8">
                  <c:v>37423606</c:v>
                </c:pt>
              </c:numCache>
            </c:numRef>
          </c:val>
          <c:smooth val="0"/>
          <c:extLst>
            <c:ext xmlns:c16="http://schemas.microsoft.com/office/drawing/2014/chart" uri="{C3380CC4-5D6E-409C-BE32-E72D297353CC}">
              <c16:uniqueId val="{00000001-EA13-4CCF-A6ED-A17E91386EB8}"/>
            </c:ext>
          </c:extLst>
        </c:ser>
        <c:dLbls>
          <c:showLegendKey val="0"/>
          <c:showVal val="0"/>
          <c:showCatName val="0"/>
          <c:showSerName val="0"/>
          <c:showPercent val="0"/>
          <c:showBubbleSize val="0"/>
        </c:dLbls>
        <c:marker val="1"/>
        <c:smooth val="0"/>
        <c:axId val="916106296"/>
        <c:axId val="1"/>
      </c:lineChart>
      <c:catAx>
        <c:axId val="916106296"/>
        <c:scaling>
          <c:orientation val="minMax"/>
        </c:scaling>
        <c:delete val="0"/>
        <c:axPos val="b"/>
        <c:numFmt formatCode="0" sourceLinked="1"/>
        <c:majorTickMark val="none"/>
        <c:minorTickMark val="none"/>
        <c:tickLblPos val="nextTo"/>
        <c:crossAx val="1"/>
        <c:crosses val="autoZero"/>
        <c:auto val="1"/>
        <c:lblAlgn val="ctr"/>
        <c:lblOffset val="100"/>
        <c:noMultiLvlLbl val="0"/>
      </c:catAx>
      <c:valAx>
        <c:axId val="1"/>
        <c:scaling>
          <c:orientation val="minMax"/>
          <c:min val="1000000"/>
        </c:scaling>
        <c:delete val="0"/>
        <c:axPos val="l"/>
        <c:majorGridlines/>
        <c:numFmt formatCode="#,##0" sourceLinked="1"/>
        <c:majorTickMark val="none"/>
        <c:minorTickMark val="none"/>
        <c:tickLblPos val="nextTo"/>
        <c:crossAx val="916106296"/>
        <c:crosses val="autoZero"/>
        <c:crossBetween val="between"/>
      </c:valAx>
    </c:plotArea>
    <c:legend>
      <c:legendPos val="b"/>
      <c:layout>
        <c:manualLayout>
          <c:xMode val="edge"/>
          <c:yMode val="edge"/>
          <c:x val="0.31572367613340369"/>
          <c:y val="0.925414446481861"/>
          <c:w val="0.42577329432497896"/>
          <c:h val="6.077359508143676E-2"/>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 2014-2022'!$C$642</c:f>
              <c:strCache>
                <c:ptCount val="1"/>
                <c:pt idx="0">
                  <c:v>2014</c:v>
                </c:pt>
              </c:strCache>
            </c:strRef>
          </c:tx>
          <c:spPr>
            <a:solidFill>
              <a:schemeClr val="accent1"/>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2014-2022'!$C$643:$C$652</c:f>
              <c:numCache>
                <c:formatCode>#,##0</c:formatCode>
                <c:ptCount val="10"/>
                <c:pt idx="0">
                  <c:v>364698</c:v>
                </c:pt>
                <c:pt idx="1">
                  <c:v>3460259</c:v>
                </c:pt>
                <c:pt idx="2">
                  <c:v>2754838</c:v>
                </c:pt>
                <c:pt idx="3">
                  <c:v>88663</c:v>
                </c:pt>
                <c:pt idx="4">
                  <c:v>402800</c:v>
                </c:pt>
                <c:pt idx="5">
                  <c:v>1826774</c:v>
                </c:pt>
                <c:pt idx="6">
                  <c:v>2123681</c:v>
                </c:pt>
                <c:pt idx="7">
                  <c:v>66221</c:v>
                </c:pt>
                <c:pt idx="8">
                  <c:v>1900563</c:v>
                </c:pt>
                <c:pt idx="9">
                  <c:v>936276</c:v>
                </c:pt>
              </c:numCache>
            </c:numRef>
          </c:val>
          <c:extLst>
            <c:ext xmlns:c16="http://schemas.microsoft.com/office/drawing/2014/chart" uri="{C3380CC4-5D6E-409C-BE32-E72D297353CC}">
              <c16:uniqueId val="{00000000-3AC7-45D6-B5CA-F7E2E6B4F76B}"/>
            </c:ext>
          </c:extLst>
        </c:ser>
        <c:ser>
          <c:idx val="1"/>
          <c:order val="1"/>
          <c:tx>
            <c:strRef>
              <c:f>'wykresy 2014-2022'!$D$642</c:f>
              <c:strCache>
                <c:ptCount val="1"/>
                <c:pt idx="0">
                  <c:v>2015</c:v>
                </c:pt>
              </c:strCache>
            </c:strRef>
          </c:tx>
          <c:spPr>
            <a:solidFill>
              <a:schemeClr val="accent2"/>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2014-2022'!$D$643:$D$652</c:f>
              <c:numCache>
                <c:formatCode>#,##0</c:formatCode>
                <c:ptCount val="10"/>
                <c:pt idx="0" formatCode="General">
                  <c:v>0</c:v>
                </c:pt>
                <c:pt idx="1">
                  <c:v>2602835</c:v>
                </c:pt>
                <c:pt idx="2">
                  <c:v>1988768</c:v>
                </c:pt>
                <c:pt idx="3">
                  <c:v>215302</c:v>
                </c:pt>
                <c:pt idx="4">
                  <c:v>785760</c:v>
                </c:pt>
                <c:pt idx="5">
                  <c:v>1916550</c:v>
                </c:pt>
                <c:pt idx="6">
                  <c:v>4910070</c:v>
                </c:pt>
                <c:pt idx="7">
                  <c:v>972071</c:v>
                </c:pt>
                <c:pt idx="8">
                  <c:v>180457</c:v>
                </c:pt>
                <c:pt idx="9">
                  <c:v>42250</c:v>
                </c:pt>
              </c:numCache>
            </c:numRef>
          </c:val>
          <c:extLst>
            <c:ext xmlns:c16="http://schemas.microsoft.com/office/drawing/2014/chart" uri="{C3380CC4-5D6E-409C-BE32-E72D297353CC}">
              <c16:uniqueId val="{00000001-3AC7-45D6-B5CA-F7E2E6B4F76B}"/>
            </c:ext>
          </c:extLst>
        </c:ser>
        <c:ser>
          <c:idx val="2"/>
          <c:order val="2"/>
          <c:tx>
            <c:strRef>
              <c:f>'wykresy 2014-2022'!$E$642</c:f>
              <c:strCache>
                <c:ptCount val="1"/>
                <c:pt idx="0">
                  <c:v>2016</c:v>
                </c:pt>
              </c:strCache>
            </c:strRef>
          </c:tx>
          <c:spPr>
            <a:solidFill>
              <a:schemeClr val="accent3"/>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2014-2022'!$E$643:$E$652</c:f>
              <c:numCache>
                <c:formatCode>#,##0</c:formatCode>
                <c:ptCount val="10"/>
                <c:pt idx="0">
                  <c:v>49400</c:v>
                </c:pt>
                <c:pt idx="1">
                  <c:v>2894872</c:v>
                </c:pt>
                <c:pt idx="2">
                  <c:v>2050496</c:v>
                </c:pt>
                <c:pt idx="3">
                  <c:v>367392</c:v>
                </c:pt>
                <c:pt idx="4">
                  <c:v>10058</c:v>
                </c:pt>
                <c:pt idx="5">
                  <c:v>7121436</c:v>
                </c:pt>
                <c:pt idx="6">
                  <c:v>1541887</c:v>
                </c:pt>
                <c:pt idx="7">
                  <c:v>73036</c:v>
                </c:pt>
                <c:pt idx="8">
                  <c:v>244009</c:v>
                </c:pt>
                <c:pt idx="9">
                  <c:v>93393</c:v>
                </c:pt>
              </c:numCache>
            </c:numRef>
          </c:val>
          <c:extLst>
            <c:ext xmlns:c16="http://schemas.microsoft.com/office/drawing/2014/chart" uri="{C3380CC4-5D6E-409C-BE32-E72D297353CC}">
              <c16:uniqueId val="{00000002-3AC7-45D6-B5CA-F7E2E6B4F76B}"/>
            </c:ext>
          </c:extLst>
        </c:ser>
        <c:ser>
          <c:idx val="3"/>
          <c:order val="3"/>
          <c:tx>
            <c:strRef>
              <c:f>'wykresy 2014-2022'!$F$642</c:f>
              <c:strCache>
                <c:ptCount val="1"/>
                <c:pt idx="0">
                  <c:v>2017</c:v>
                </c:pt>
              </c:strCache>
            </c:strRef>
          </c:tx>
          <c:spPr>
            <a:solidFill>
              <a:schemeClr val="accent4"/>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2014-2022'!$F$643:$F$652</c:f>
              <c:numCache>
                <c:formatCode>#,##0</c:formatCode>
                <c:ptCount val="10"/>
                <c:pt idx="0">
                  <c:v>72760</c:v>
                </c:pt>
                <c:pt idx="1">
                  <c:v>2648280</c:v>
                </c:pt>
                <c:pt idx="2">
                  <c:v>4316954</c:v>
                </c:pt>
                <c:pt idx="3">
                  <c:v>140797</c:v>
                </c:pt>
                <c:pt idx="4">
                  <c:v>572147</c:v>
                </c:pt>
                <c:pt idx="5">
                  <c:v>2399838</c:v>
                </c:pt>
                <c:pt idx="6">
                  <c:v>1826169</c:v>
                </c:pt>
                <c:pt idx="7">
                  <c:v>180443</c:v>
                </c:pt>
                <c:pt idx="8">
                  <c:v>329481</c:v>
                </c:pt>
                <c:pt idx="9" formatCode="General">
                  <c:v>0</c:v>
                </c:pt>
              </c:numCache>
            </c:numRef>
          </c:val>
          <c:extLst>
            <c:ext xmlns:c16="http://schemas.microsoft.com/office/drawing/2014/chart" uri="{C3380CC4-5D6E-409C-BE32-E72D297353CC}">
              <c16:uniqueId val="{00000003-3AC7-45D6-B5CA-F7E2E6B4F76B}"/>
            </c:ext>
          </c:extLst>
        </c:ser>
        <c:ser>
          <c:idx val="4"/>
          <c:order val="4"/>
          <c:tx>
            <c:strRef>
              <c:f>'wykresy 2014-2022'!$G$642</c:f>
              <c:strCache>
                <c:ptCount val="1"/>
                <c:pt idx="0">
                  <c:v>2018</c:v>
                </c:pt>
              </c:strCache>
            </c:strRef>
          </c:tx>
          <c:spPr>
            <a:solidFill>
              <a:schemeClr val="accent5"/>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2014-2022'!$G$643:$G$652</c:f>
              <c:numCache>
                <c:formatCode>#,##0</c:formatCode>
                <c:ptCount val="10"/>
                <c:pt idx="0">
                  <c:v>141592</c:v>
                </c:pt>
                <c:pt idx="1">
                  <c:v>3291162</c:v>
                </c:pt>
                <c:pt idx="2">
                  <c:v>3683962</c:v>
                </c:pt>
                <c:pt idx="3">
                  <c:v>297620</c:v>
                </c:pt>
                <c:pt idx="4">
                  <c:v>749578</c:v>
                </c:pt>
                <c:pt idx="5">
                  <c:v>4820116</c:v>
                </c:pt>
                <c:pt idx="6">
                  <c:v>4006155</c:v>
                </c:pt>
                <c:pt idx="7" formatCode="General">
                  <c:v>0</c:v>
                </c:pt>
                <c:pt idx="8">
                  <c:v>495167</c:v>
                </c:pt>
                <c:pt idx="9">
                  <c:v>30318</c:v>
                </c:pt>
              </c:numCache>
            </c:numRef>
          </c:val>
          <c:extLst>
            <c:ext xmlns:c16="http://schemas.microsoft.com/office/drawing/2014/chart" uri="{C3380CC4-5D6E-409C-BE32-E72D297353CC}">
              <c16:uniqueId val="{00000004-3AC7-45D6-B5CA-F7E2E6B4F76B}"/>
            </c:ext>
          </c:extLst>
        </c:ser>
        <c:ser>
          <c:idx val="5"/>
          <c:order val="5"/>
          <c:tx>
            <c:strRef>
              <c:f>'wykresy 2014-2022'!$H$642</c:f>
              <c:strCache>
                <c:ptCount val="1"/>
                <c:pt idx="0">
                  <c:v>2019</c:v>
                </c:pt>
              </c:strCache>
            </c:strRef>
          </c:tx>
          <c:spPr>
            <a:solidFill>
              <a:schemeClr val="accent6"/>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2014-2022'!$H$643:$H$652</c:f>
              <c:numCache>
                <c:formatCode>#,##0</c:formatCode>
                <c:ptCount val="10"/>
                <c:pt idx="0">
                  <c:v>173000</c:v>
                </c:pt>
                <c:pt idx="1">
                  <c:v>1718965</c:v>
                </c:pt>
                <c:pt idx="2">
                  <c:v>2210524</c:v>
                </c:pt>
                <c:pt idx="3">
                  <c:v>276430</c:v>
                </c:pt>
                <c:pt idx="4">
                  <c:v>723920</c:v>
                </c:pt>
                <c:pt idx="5">
                  <c:v>1403494</c:v>
                </c:pt>
                <c:pt idx="6">
                  <c:v>3866165</c:v>
                </c:pt>
                <c:pt idx="7" formatCode="General">
                  <c:v>0</c:v>
                </c:pt>
                <c:pt idx="8">
                  <c:v>488745</c:v>
                </c:pt>
                <c:pt idx="9">
                  <c:v>23089</c:v>
                </c:pt>
              </c:numCache>
            </c:numRef>
          </c:val>
          <c:extLst>
            <c:ext xmlns:c16="http://schemas.microsoft.com/office/drawing/2014/chart" uri="{C3380CC4-5D6E-409C-BE32-E72D297353CC}">
              <c16:uniqueId val="{00000005-3AC7-45D6-B5CA-F7E2E6B4F76B}"/>
            </c:ext>
          </c:extLst>
        </c:ser>
        <c:ser>
          <c:idx val="6"/>
          <c:order val="6"/>
          <c:tx>
            <c:strRef>
              <c:f>'wykresy 2014-2022'!$I$642</c:f>
              <c:strCache>
                <c:ptCount val="1"/>
                <c:pt idx="0">
                  <c:v>2020</c:v>
                </c:pt>
              </c:strCache>
            </c:strRef>
          </c:tx>
          <c:spPr>
            <a:solidFill>
              <a:schemeClr val="accent1">
                <a:lumMod val="60000"/>
              </a:schemeClr>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2014-2022'!$I$643:$I$652</c:f>
              <c:numCache>
                <c:formatCode>#,##0</c:formatCode>
                <c:ptCount val="10"/>
                <c:pt idx="0">
                  <c:v>1231748</c:v>
                </c:pt>
                <c:pt idx="1">
                  <c:v>3289753</c:v>
                </c:pt>
                <c:pt idx="2">
                  <c:v>978741</c:v>
                </c:pt>
                <c:pt idx="3">
                  <c:v>90236</c:v>
                </c:pt>
                <c:pt idx="4">
                  <c:v>380290</c:v>
                </c:pt>
                <c:pt idx="5">
                  <c:v>1050797</c:v>
                </c:pt>
                <c:pt idx="6">
                  <c:v>4619568</c:v>
                </c:pt>
                <c:pt idx="7">
                  <c:v>45000</c:v>
                </c:pt>
                <c:pt idx="8">
                  <c:v>821224</c:v>
                </c:pt>
                <c:pt idx="9" formatCode="General">
                  <c:v>0</c:v>
                </c:pt>
              </c:numCache>
            </c:numRef>
          </c:val>
          <c:extLst>
            <c:ext xmlns:c16="http://schemas.microsoft.com/office/drawing/2014/chart" uri="{C3380CC4-5D6E-409C-BE32-E72D297353CC}">
              <c16:uniqueId val="{00000006-3AC7-45D6-B5CA-F7E2E6B4F76B}"/>
            </c:ext>
          </c:extLst>
        </c:ser>
        <c:ser>
          <c:idx val="7"/>
          <c:order val="7"/>
          <c:tx>
            <c:strRef>
              <c:f>'wykresy 2014-2022'!$J$642</c:f>
              <c:strCache>
                <c:ptCount val="1"/>
                <c:pt idx="0">
                  <c:v>2021</c:v>
                </c:pt>
              </c:strCache>
            </c:strRef>
          </c:tx>
          <c:spPr>
            <a:solidFill>
              <a:schemeClr val="accent2">
                <a:lumMod val="60000"/>
              </a:schemeClr>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2014-2022'!$J$643:$J$652</c:f>
              <c:numCache>
                <c:formatCode>#,##0</c:formatCode>
                <c:ptCount val="10"/>
                <c:pt idx="0">
                  <c:v>24255</c:v>
                </c:pt>
                <c:pt idx="1">
                  <c:v>2853262</c:v>
                </c:pt>
                <c:pt idx="2">
                  <c:v>2160748</c:v>
                </c:pt>
                <c:pt idx="3">
                  <c:v>627726</c:v>
                </c:pt>
                <c:pt idx="4">
                  <c:v>415850</c:v>
                </c:pt>
                <c:pt idx="5">
                  <c:v>417506</c:v>
                </c:pt>
                <c:pt idx="6">
                  <c:v>4721942</c:v>
                </c:pt>
                <c:pt idx="7">
                  <c:v>248593</c:v>
                </c:pt>
                <c:pt idx="8">
                  <c:v>2306285</c:v>
                </c:pt>
                <c:pt idx="9">
                  <c:v>94559</c:v>
                </c:pt>
              </c:numCache>
            </c:numRef>
          </c:val>
          <c:extLst>
            <c:ext xmlns:c16="http://schemas.microsoft.com/office/drawing/2014/chart" uri="{C3380CC4-5D6E-409C-BE32-E72D297353CC}">
              <c16:uniqueId val="{00000007-3AC7-45D6-B5CA-F7E2E6B4F76B}"/>
            </c:ext>
          </c:extLst>
        </c:ser>
        <c:ser>
          <c:idx val="8"/>
          <c:order val="8"/>
          <c:tx>
            <c:strRef>
              <c:f>'wykresy 2014-2022'!$K$642</c:f>
              <c:strCache>
                <c:ptCount val="1"/>
                <c:pt idx="0">
                  <c:v>2022</c:v>
                </c:pt>
              </c:strCache>
            </c:strRef>
          </c:tx>
          <c:spPr>
            <a:solidFill>
              <a:schemeClr val="accent3">
                <a:lumMod val="60000"/>
              </a:schemeClr>
            </a:solidFill>
            <a:ln>
              <a:noFill/>
            </a:ln>
            <a:effectLst/>
          </c:spPr>
          <c:invertIfNegative val="0"/>
          <c:cat>
            <c:strRef>
              <c:f>'wykresy 2014-2022'!$B$643:$B$652</c:f>
              <c:strCache>
                <c:ptCount val="10"/>
                <c:pt idx="0">
                  <c:v>Rolnictwo i łowiectwo</c:v>
                </c:pt>
                <c:pt idx="1">
                  <c:v>Transport i łączność</c:v>
                </c:pt>
                <c:pt idx="2">
                  <c:v>Gospodarka mieszkaniowa</c:v>
                </c:pt>
                <c:pt idx="3">
                  <c:v>Administracja publiczna</c:v>
                </c:pt>
                <c:pt idx="4">
                  <c:v>Bezpieczeństwo publiczne i ochr. pp</c:v>
                </c:pt>
                <c:pt idx="5">
                  <c:v>Oświata i wychowanie</c:v>
                </c:pt>
                <c:pt idx="6">
                  <c:v>Gospodarka  komunalna i ochr. środ.</c:v>
                </c:pt>
                <c:pt idx="7">
                  <c:v>Kultura i ochrona dziedzictwa narodowego</c:v>
                </c:pt>
                <c:pt idx="8">
                  <c:v>Kultura fiz. i sport</c:v>
                </c:pt>
                <c:pt idx="9">
                  <c:v>Ochrona zdrowia</c:v>
                </c:pt>
              </c:strCache>
            </c:strRef>
          </c:cat>
          <c:val>
            <c:numRef>
              <c:f>'wykresy 2014-2022'!$K$643:$K$652</c:f>
              <c:numCache>
                <c:formatCode>#,##0</c:formatCode>
                <c:ptCount val="10"/>
                <c:pt idx="0">
                  <c:v>13930917</c:v>
                </c:pt>
                <c:pt idx="1">
                  <c:v>7140449</c:v>
                </c:pt>
                <c:pt idx="2">
                  <c:v>1435000</c:v>
                </c:pt>
                <c:pt idx="3">
                  <c:v>1188789</c:v>
                </c:pt>
                <c:pt idx="4">
                  <c:v>177517</c:v>
                </c:pt>
                <c:pt idx="5">
                  <c:v>802126</c:v>
                </c:pt>
                <c:pt idx="6">
                  <c:v>11200704</c:v>
                </c:pt>
                <c:pt idx="7">
                  <c:v>132882</c:v>
                </c:pt>
                <c:pt idx="8">
                  <c:v>1193031</c:v>
                </c:pt>
                <c:pt idx="9">
                  <c:v>50000</c:v>
                </c:pt>
              </c:numCache>
            </c:numRef>
          </c:val>
          <c:extLst>
            <c:ext xmlns:c16="http://schemas.microsoft.com/office/drawing/2014/chart" uri="{C3380CC4-5D6E-409C-BE32-E72D297353CC}">
              <c16:uniqueId val="{00000008-3AC7-45D6-B5CA-F7E2E6B4F76B}"/>
            </c:ext>
          </c:extLst>
        </c:ser>
        <c:dLbls>
          <c:showLegendKey val="0"/>
          <c:showVal val="0"/>
          <c:showCatName val="0"/>
          <c:showSerName val="0"/>
          <c:showPercent val="0"/>
          <c:showBubbleSize val="0"/>
        </c:dLbls>
        <c:gapWidth val="219"/>
        <c:overlap val="-27"/>
        <c:axId val="751914280"/>
        <c:axId val="751909688"/>
      </c:barChart>
      <c:catAx>
        <c:axId val="751914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751909688"/>
        <c:crosses val="autoZero"/>
        <c:auto val="1"/>
        <c:lblAlgn val="ctr"/>
        <c:lblOffset val="100"/>
        <c:noMultiLvlLbl val="0"/>
      </c:catAx>
      <c:valAx>
        <c:axId val="751909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751914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89616586030833"/>
          <c:y val="0.10050755131018459"/>
          <c:w val="0.73181846692955199"/>
          <c:h val="0.75794397831418614"/>
        </c:manualLayout>
      </c:layout>
      <c:barChart>
        <c:barDir val="col"/>
        <c:grouping val="clustered"/>
        <c:varyColors val="0"/>
        <c:ser>
          <c:idx val="0"/>
          <c:order val="0"/>
          <c:tx>
            <c:strRef>
              <c:f>'Analizy 2014-2022'!$A$225</c:f>
              <c:strCache>
                <c:ptCount val="1"/>
                <c:pt idx="0">
                  <c:v>dochody</c:v>
                </c:pt>
              </c:strCache>
            </c:strRef>
          </c:tx>
          <c:spPr>
            <a:solidFill>
              <a:srgbClr val="00B050"/>
            </a:solidFill>
            <a:ln>
              <a:solidFill>
                <a:srgbClr val="00B050"/>
              </a:solidFill>
            </a:ln>
          </c:spPr>
          <c:invertIfNegative val="0"/>
          <c:cat>
            <c:numRef>
              <c:f>'Analizy 2014-2022'!$B$224:$J$224</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2014-2022'!$B$225:$J$225</c:f>
              <c:numCache>
                <c:formatCode>#,##0</c:formatCode>
                <c:ptCount val="9"/>
                <c:pt idx="0">
                  <c:v>88310082.739999995</c:v>
                </c:pt>
                <c:pt idx="1">
                  <c:v>98805683.650000006</c:v>
                </c:pt>
                <c:pt idx="2">
                  <c:v>109271456.73999999</c:v>
                </c:pt>
                <c:pt idx="3">
                  <c:v>119131282.81</c:v>
                </c:pt>
                <c:pt idx="4">
                  <c:v>130223405.14</c:v>
                </c:pt>
                <c:pt idx="5">
                  <c:v>151974532.49000001</c:v>
                </c:pt>
                <c:pt idx="6">
                  <c:v>167287364.08000001</c:v>
                </c:pt>
                <c:pt idx="7">
                  <c:v>180163178.00999999</c:v>
                </c:pt>
                <c:pt idx="8">
                  <c:v>186693819</c:v>
                </c:pt>
              </c:numCache>
            </c:numRef>
          </c:val>
          <c:extLst>
            <c:ext xmlns:c16="http://schemas.microsoft.com/office/drawing/2014/chart" uri="{C3380CC4-5D6E-409C-BE32-E72D297353CC}">
              <c16:uniqueId val="{00000000-9234-4C13-810B-51BA1B53292A}"/>
            </c:ext>
          </c:extLst>
        </c:ser>
        <c:ser>
          <c:idx val="1"/>
          <c:order val="1"/>
          <c:tx>
            <c:strRef>
              <c:f>'Analizy 2014-2022'!$A$226</c:f>
              <c:strCache>
                <c:ptCount val="1"/>
                <c:pt idx="0">
                  <c:v>wydatki</c:v>
                </c:pt>
              </c:strCache>
            </c:strRef>
          </c:tx>
          <c:spPr>
            <a:solidFill>
              <a:srgbClr val="FF1515"/>
            </a:solidFill>
            <a:ln>
              <a:solidFill>
                <a:srgbClr val="FF0000"/>
              </a:solidFill>
            </a:ln>
          </c:spPr>
          <c:invertIfNegative val="0"/>
          <c:cat>
            <c:numRef>
              <c:f>'Analizy 2014-2022'!$B$224:$J$224</c:f>
              <c:numCache>
                <c:formatCode>0</c:formatCode>
                <c:ptCount val="9"/>
                <c:pt idx="0">
                  <c:v>2014</c:v>
                </c:pt>
                <c:pt idx="1">
                  <c:v>2015</c:v>
                </c:pt>
                <c:pt idx="2">
                  <c:v>2016</c:v>
                </c:pt>
                <c:pt idx="3">
                  <c:v>2017</c:v>
                </c:pt>
                <c:pt idx="4">
                  <c:v>2018</c:v>
                </c:pt>
                <c:pt idx="5">
                  <c:v>2019</c:v>
                </c:pt>
                <c:pt idx="6">
                  <c:v>2020</c:v>
                </c:pt>
                <c:pt idx="7">
                  <c:v>2021</c:v>
                </c:pt>
                <c:pt idx="8">
                  <c:v>2022</c:v>
                </c:pt>
              </c:numCache>
            </c:numRef>
          </c:cat>
          <c:val>
            <c:numRef>
              <c:f>'Analizy 2014-2022'!$B$226:$J$226</c:f>
              <c:numCache>
                <c:formatCode>#,##0</c:formatCode>
                <c:ptCount val="9"/>
                <c:pt idx="0">
                  <c:v>87334315.150000006</c:v>
                </c:pt>
                <c:pt idx="1">
                  <c:v>89218534.219999999</c:v>
                </c:pt>
                <c:pt idx="2">
                  <c:v>111663679.2</c:v>
                </c:pt>
                <c:pt idx="3">
                  <c:v>117669625.13</c:v>
                </c:pt>
                <c:pt idx="4">
                  <c:v>134845434.06999999</c:v>
                </c:pt>
                <c:pt idx="5">
                  <c:v>148857765.16999999</c:v>
                </c:pt>
                <c:pt idx="6">
                  <c:v>165017381.61000001</c:v>
                </c:pt>
                <c:pt idx="7">
                  <c:v>169981446.72999999</c:v>
                </c:pt>
                <c:pt idx="8">
                  <c:v>214984637</c:v>
                </c:pt>
              </c:numCache>
            </c:numRef>
          </c:val>
          <c:extLst>
            <c:ext xmlns:c16="http://schemas.microsoft.com/office/drawing/2014/chart" uri="{C3380CC4-5D6E-409C-BE32-E72D297353CC}">
              <c16:uniqueId val="{00000001-9234-4C13-810B-51BA1B53292A}"/>
            </c:ext>
          </c:extLst>
        </c:ser>
        <c:dLbls>
          <c:showLegendKey val="0"/>
          <c:showVal val="0"/>
          <c:showCatName val="0"/>
          <c:showSerName val="0"/>
          <c:showPercent val="0"/>
          <c:showBubbleSize val="0"/>
        </c:dLbls>
        <c:gapWidth val="150"/>
        <c:axId val="916108264"/>
        <c:axId val="1"/>
      </c:barChart>
      <c:catAx>
        <c:axId val="916108264"/>
        <c:scaling>
          <c:orientation val="minMax"/>
        </c:scaling>
        <c:delete val="0"/>
        <c:axPos val="b"/>
        <c:numFmt formatCode="0" sourceLinked="1"/>
        <c:majorTickMark val="none"/>
        <c:minorTickMark val="none"/>
        <c:tickLblPos val="nextTo"/>
        <c:crossAx val="1"/>
        <c:crosses val="autoZero"/>
        <c:auto val="1"/>
        <c:lblAlgn val="ctr"/>
        <c:lblOffset val="100"/>
        <c:noMultiLvlLbl val="0"/>
      </c:catAx>
      <c:valAx>
        <c:axId val="1"/>
        <c:scaling>
          <c:orientation val="minMax"/>
          <c:max val="220000000.00000003"/>
          <c:min val="0"/>
        </c:scaling>
        <c:delete val="0"/>
        <c:axPos val="l"/>
        <c:majorGridlines/>
        <c:numFmt formatCode="#,##0" sourceLinked="1"/>
        <c:majorTickMark val="none"/>
        <c:minorTickMark val="none"/>
        <c:tickLblPos val="nextTo"/>
        <c:crossAx val="916108264"/>
        <c:crosses val="autoZero"/>
        <c:crossBetween val="between"/>
        <c:majorUnit val="20000000"/>
      </c:valAx>
    </c:plotArea>
    <c:legend>
      <c:legendPos val="r"/>
      <c:layout>
        <c:manualLayout>
          <c:xMode val="edge"/>
          <c:yMode val="edge"/>
          <c:x val="0.88636879497869459"/>
          <c:y val="0.41976907816100451"/>
          <c:w val="0.10386324386031671"/>
          <c:h val="0.21983266176235017"/>
        </c:manualLayout>
      </c:layout>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D3646E-61C5-4E25-BB95-38360107C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696</TotalTime>
  <Pages>95</Pages>
  <Words>29337</Words>
  <Characters>176027</Characters>
  <Application>Microsoft Office Word</Application>
  <DocSecurity>0</DocSecurity>
  <Lines>1466</Lines>
  <Paragraphs>409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204955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Legutko-Kobus</dc:creator>
  <cp:keywords/>
  <dc:description/>
  <cp:lastModifiedBy>Paulina Legutko-Kobus</cp:lastModifiedBy>
  <cp:revision>56</cp:revision>
  <cp:lastPrinted>2022-11-18T05:10:00Z</cp:lastPrinted>
  <dcterms:created xsi:type="dcterms:W3CDTF">2022-11-14T04:27:00Z</dcterms:created>
  <dcterms:modified xsi:type="dcterms:W3CDTF">2022-11-18T09:30:00Z</dcterms:modified>
</cp:coreProperties>
</file>