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C4" w:rsidRDefault="00EF3EAE" w:rsidP="00EF3EAE">
      <w:pPr>
        <w:pStyle w:val="Jednostka"/>
        <w:tabs>
          <w:tab w:val="left" w:pos="6315"/>
          <w:tab w:val="right" w:pos="8958"/>
        </w:tabs>
        <w:rPr>
          <w:b/>
          <w:sz w:val="24"/>
        </w:rPr>
      </w:pPr>
      <w:r>
        <w:rPr>
          <w:color w:val="000000"/>
        </w:rPr>
        <w:tab/>
      </w:r>
      <w:r>
        <w:rPr>
          <w:color w:val="000000"/>
        </w:rPr>
        <w:tab/>
      </w:r>
      <w:r w:rsidR="00D36A83">
        <w:rPr>
          <w:noProof/>
        </w:rPr>
        <w:drawing>
          <wp:anchor distT="0" distB="0" distL="114300" distR="114300" simplePos="0" relativeHeight="2" behindDoc="0" locked="0" layoutInCell="0" allowOverlap="0" wp14:anchorId="124D3919" wp14:editId="379439C4">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358900" cy="322580"/>
                    </a:xfrm>
                    <a:prstGeom prst="rect">
                      <a:avLst/>
                    </a:prstGeom>
                  </pic:spPr>
                </pic:pic>
              </a:graphicData>
            </a:graphic>
          </wp:anchor>
        </w:drawing>
      </w:r>
    </w:p>
    <w:p w:rsidR="00D978C4" w:rsidRDefault="00D978C4">
      <w:pPr>
        <w:pStyle w:val="Jednostka"/>
        <w:rPr>
          <w:b/>
          <w:sz w:val="28"/>
        </w:rPr>
      </w:pPr>
    </w:p>
    <w:p w:rsidR="00D857BF" w:rsidRPr="003D3155" w:rsidRDefault="005E683D" w:rsidP="003D3155">
      <w:pPr>
        <w:pStyle w:val="Jednostka"/>
      </w:pPr>
      <w:r>
        <w:t>Informacja prasowa</w:t>
      </w:r>
    </w:p>
    <w:p w:rsidR="00E17444" w:rsidRDefault="00E17444" w:rsidP="00E17444">
      <w:pPr>
        <w:shd w:val="clear" w:color="auto" w:fill="FFFFFF"/>
        <w:spacing w:before="0" w:beforeAutospacing="0" w:after="0" w:afterAutospacing="0" w:line="293" w:lineRule="atLeast"/>
        <w:outlineLvl w:val="0"/>
        <w:rPr>
          <w:rFonts w:asciiTheme="minorHAnsi" w:hAnsiTheme="minorHAnsi" w:cs="Helvetica"/>
          <w:kern w:val="36"/>
          <w:szCs w:val="24"/>
        </w:rPr>
      </w:pPr>
    </w:p>
    <w:p w:rsidR="00FF0CB6" w:rsidRPr="00FF0CB6" w:rsidRDefault="00FF0CB6" w:rsidP="00FF0CB6">
      <w:pPr>
        <w:spacing w:before="0" w:beforeAutospacing="0" w:after="120" w:afterAutospacing="0" w:line="276" w:lineRule="auto"/>
        <w:rPr>
          <w:rFonts w:eastAsiaTheme="minorHAnsi"/>
          <w:b/>
          <w:bCs/>
          <w:color w:val="auto"/>
          <w:sz w:val="26"/>
          <w:szCs w:val="26"/>
          <w:lang w:eastAsia="en-US"/>
        </w:rPr>
      </w:pPr>
      <w:r>
        <w:rPr>
          <w:rFonts w:eastAsiaTheme="minorHAnsi"/>
          <w:b/>
          <w:bCs/>
          <w:color w:val="auto"/>
          <w:sz w:val="26"/>
          <w:szCs w:val="26"/>
          <w:lang w:eastAsia="en-US"/>
        </w:rPr>
        <w:t>Świadczenie wyrównawcze dla działaczy opozycji</w:t>
      </w:r>
    </w:p>
    <w:p w:rsidR="00FF0CB6" w:rsidRPr="00FF0CB6" w:rsidRDefault="00FF0CB6" w:rsidP="00FF0CB6">
      <w:pPr>
        <w:spacing w:before="0" w:beforeAutospacing="0" w:after="0" w:afterAutospacing="0"/>
        <w:jc w:val="left"/>
        <w:rPr>
          <w:rFonts w:eastAsiaTheme="minorHAnsi"/>
          <w:b/>
          <w:bCs/>
          <w:color w:val="auto"/>
          <w:szCs w:val="24"/>
          <w:lang w:eastAsia="en-US"/>
        </w:rPr>
      </w:pPr>
      <w:r w:rsidRPr="00FF0CB6">
        <w:rPr>
          <w:rFonts w:eastAsiaTheme="minorHAnsi"/>
          <w:b/>
          <w:bCs/>
          <w:color w:val="auto"/>
          <w:szCs w:val="24"/>
          <w:lang w:eastAsia="en-US"/>
        </w:rPr>
        <w:t>Działacze opozycji antykomunistycznej oraz osoby represjonowane z powodów politycznych mogą otrzymać świadczenie wyrównawcze również wtedy, gdy mają rentę rodzinną.</w:t>
      </w:r>
    </w:p>
    <w:p w:rsidR="00FF0CB6" w:rsidRPr="00FF0CB6" w:rsidRDefault="00FF0CB6" w:rsidP="00FF0CB6">
      <w:pPr>
        <w:spacing w:before="0" w:beforeAutospacing="0" w:after="0" w:afterAutospacing="0"/>
        <w:jc w:val="left"/>
        <w:rPr>
          <w:rFonts w:eastAsiaTheme="minorHAnsi"/>
          <w:color w:val="auto"/>
          <w:szCs w:val="24"/>
          <w:lang w:eastAsia="en-US"/>
        </w:rPr>
      </w:pPr>
    </w:p>
    <w:p w:rsidR="00FF0CB6" w:rsidRPr="00FF0CB6" w:rsidRDefault="00FF0CB6" w:rsidP="00FF0CB6">
      <w:pPr>
        <w:spacing w:before="0" w:beforeAutospacing="0" w:after="0" w:afterAutospacing="0"/>
        <w:jc w:val="left"/>
        <w:rPr>
          <w:rFonts w:eastAsiaTheme="minorHAnsi"/>
          <w:color w:val="auto"/>
          <w:szCs w:val="24"/>
          <w:lang w:eastAsia="en-US"/>
        </w:rPr>
      </w:pPr>
      <w:r w:rsidRPr="00FF0CB6">
        <w:rPr>
          <w:rFonts w:eastAsiaTheme="minorHAnsi"/>
          <w:color w:val="auto"/>
          <w:szCs w:val="24"/>
          <w:lang w:eastAsia="en-US"/>
        </w:rPr>
        <w:t>1 czerwca 2021 r</w:t>
      </w:r>
      <w:r>
        <w:rPr>
          <w:rFonts w:eastAsiaTheme="minorHAnsi"/>
          <w:color w:val="auto"/>
          <w:szCs w:val="24"/>
          <w:lang w:eastAsia="en-US"/>
        </w:rPr>
        <w:t xml:space="preserve">. </w:t>
      </w:r>
      <w:r w:rsidRPr="00FF0CB6">
        <w:rPr>
          <w:rFonts w:eastAsiaTheme="minorHAnsi"/>
          <w:color w:val="auto"/>
          <w:szCs w:val="24"/>
          <w:lang w:eastAsia="en-US"/>
        </w:rPr>
        <w:t>weszła w życie nowelizacji ustawy o działaczach opozycji antykomunistycznej oraz osobach represjonowanych z powodów politycznych. Regulacja wprowadziła nowe rozwiązania w zakresie świadczenia wyrównawczego, obliczenia wysokości emerytur i rent oraz kapitału początkowego.</w:t>
      </w:r>
    </w:p>
    <w:p w:rsidR="00FF0CB6" w:rsidRPr="00FF0CB6" w:rsidRDefault="00FF0CB6" w:rsidP="00FF0CB6">
      <w:pPr>
        <w:spacing w:before="0" w:beforeAutospacing="0" w:after="0" w:afterAutospacing="0"/>
        <w:jc w:val="left"/>
        <w:rPr>
          <w:rFonts w:eastAsiaTheme="minorHAnsi"/>
          <w:b/>
          <w:bCs/>
          <w:color w:val="auto"/>
          <w:szCs w:val="24"/>
          <w:lang w:eastAsia="en-US"/>
        </w:rPr>
      </w:pPr>
      <w:r w:rsidRPr="00FF0CB6">
        <w:rPr>
          <w:rFonts w:eastAsiaTheme="minorHAnsi"/>
          <w:color w:val="auto"/>
          <w:szCs w:val="24"/>
          <w:lang w:eastAsia="en-US"/>
        </w:rPr>
        <w:br/>
      </w:r>
      <w:r w:rsidRPr="00FF0CB6">
        <w:rPr>
          <w:rFonts w:eastAsiaTheme="minorHAnsi"/>
          <w:b/>
          <w:bCs/>
          <w:color w:val="auto"/>
          <w:szCs w:val="24"/>
          <w:lang w:eastAsia="en-US"/>
        </w:rPr>
        <w:t>Świadczenie wyrównawcze także do renty rodzinnej</w:t>
      </w:r>
      <w:r w:rsidRPr="00FF0CB6">
        <w:rPr>
          <w:rFonts w:eastAsiaTheme="minorHAnsi"/>
          <w:b/>
          <w:bCs/>
          <w:color w:val="auto"/>
          <w:szCs w:val="24"/>
          <w:lang w:eastAsia="en-US"/>
        </w:rPr>
        <w:br/>
      </w:r>
    </w:p>
    <w:p w:rsidR="00FF0CB6" w:rsidRPr="00FF0CB6" w:rsidRDefault="00FF0CB6" w:rsidP="00FF0CB6">
      <w:pPr>
        <w:spacing w:before="0" w:beforeAutospacing="0" w:after="0" w:afterAutospacing="0"/>
        <w:jc w:val="left"/>
        <w:rPr>
          <w:rFonts w:eastAsiaTheme="minorHAnsi"/>
          <w:color w:val="auto"/>
          <w:szCs w:val="24"/>
          <w:lang w:eastAsia="en-US"/>
        </w:rPr>
      </w:pPr>
      <w:r w:rsidRPr="00FF0CB6">
        <w:rPr>
          <w:rFonts w:eastAsiaTheme="minorHAnsi"/>
          <w:color w:val="auto"/>
          <w:szCs w:val="24"/>
          <w:lang w:eastAsia="en-US"/>
        </w:rPr>
        <w:t xml:space="preserve">Na mocy tych przepisów świadczenie wyrównawcze przysługuje działaczom opozycji antykomunistycznej oraz osobom represjonowanym z powodów politycznych pobierającym nie tylko emeryturę lub rentę inwalidzką albo rentę z tytułu niezdolności do pracy, lecz także rentę rodzinną w wysokości niższej niż 2501,76 zł. </w:t>
      </w:r>
    </w:p>
    <w:p w:rsidR="00FF0CB6" w:rsidRPr="00FF0CB6" w:rsidRDefault="00FF0CB6" w:rsidP="00FF0CB6">
      <w:pPr>
        <w:spacing w:before="0" w:beforeAutospacing="0" w:after="0" w:afterAutospacing="0"/>
        <w:jc w:val="left"/>
        <w:rPr>
          <w:rFonts w:eastAsiaTheme="minorHAnsi"/>
          <w:color w:val="auto"/>
          <w:szCs w:val="24"/>
          <w:lang w:eastAsia="en-US"/>
        </w:rPr>
      </w:pPr>
    </w:p>
    <w:p w:rsidR="00FF0CB6" w:rsidRPr="00FF0CB6" w:rsidRDefault="00FF0CB6" w:rsidP="00FF0CB6">
      <w:pPr>
        <w:spacing w:before="0" w:beforeAutospacing="0" w:after="0" w:afterAutospacing="0"/>
        <w:jc w:val="left"/>
        <w:rPr>
          <w:rFonts w:eastAsiaTheme="minorHAnsi"/>
          <w:b/>
          <w:bCs/>
          <w:color w:val="auto"/>
          <w:szCs w:val="24"/>
          <w:lang w:eastAsia="en-US"/>
        </w:rPr>
      </w:pPr>
      <w:r w:rsidRPr="00FF0CB6">
        <w:rPr>
          <w:rFonts w:eastAsiaTheme="minorHAnsi"/>
          <w:color w:val="auto"/>
          <w:szCs w:val="24"/>
          <w:lang w:eastAsia="en-US"/>
        </w:rPr>
        <w:t xml:space="preserve">W celu ustalenia prawa do świadczenia wyrównawczego należy złożyć wniosek (na druku ER-SWA) i dołączyć do niego decyzję Szefa Urzędu do Spraw Kombatantów i Osób Represjonowanych, która potwierdza status działacza opozycji antykomunistycznej lub osoby represjonowanej z powodów politycznych. </w:t>
      </w:r>
      <w:r w:rsidRPr="00FF0CB6">
        <w:rPr>
          <w:rFonts w:eastAsiaTheme="minorHAnsi"/>
          <w:color w:val="auto"/>
          <w:szCs w:val="24"/>
          <w:lang w:eastAsia="en-US"/>
        </w:rPr>
        <w:br/>
      </w:r>
      <w:r w:rsidRPr="00FF0CB6">
        <w:rPr>
          <w:rFonts w:eastAsiaTheme="minorHAnsi"/>
          <w:color w:val="auto"/>
          <w:szCs w:val="24"/>
          <w:lang w:eastAsia="en-US"/>
        </w:rPr>
        <w:br/>
      </w:r>
      <w:r w:rsidRPr="00FF0CB6">
        <w:rPr>
          <w:rFonts w:eastAsiaTheme="minorHAnsi"/>
          <w:b/>
          <w:bCs/>
          <w:color w:val="auto"/>
          <w:szCs w:val="24"/>
          <w:lang w:eastAsia="en-US"/>
        </w:rPr>
        <w:t>Nowy okres składkowy</w:t>
      </w:r>
      <w:r w:rsidRPr="00FF0CB6">
        <w:rPr>
          <w:rFonts w:eastAsiaTheme="minorHAnsi"/>
          <w:b/>
          <w:bCs/>
          <w:color w:val="auto"/>
          <w:szCs w:val="24"/>
          <w:lang w:eastAsia="en-US"/>
        </w:rPr>
        <w:br/>
      </w:r>
    </w:p>
    <w:p w:rsidR="00FF0CB6" w:rsidRPr="00FF0CB6" w:rsidRDefault="00FF0CB6" w:rsidP="00FF0CB6">
      <w:pPr>
        <w:spacing w:before="0" w:beforeAutospacing="0" w:after="0" w:afterAutospacing="0"/>
        <w:jc w:val="left"/>
        <w:rPr>
          <w:rFonts w:eastAsiaTheme="minorHAnsi"/>
          <w:color w:val="auto"/>
          <w:szCs w:val="24"/>
          <w:lang w:eastAsia="en-US"/>
        </w:rPr>
      </w:pPr>
      <w:r w:rsidRPr="00FF0CB6">
        <w:rPr>
          <w:rFonts w:eastAsiaTheme="minorHAnsi"/>
          <w:color w:val="auto"/>
          <w:szCs w:val="24"/>
          <w:lang w:eastAsia="en-US"/>
        </w:rPr>
        <w:t>Ustawa wprowadziła nowy okres składkowy, tj. okres pozbawienia możliwości wykonywania swojego zawodu przed 31 lipca 1990 r. na skutek represji politycznych za działania na rzecz odzyskania przez Polskę niepodległości i suwerenności lub respektowania politycznych praw człowieka w Polsce.</w:t>
      </w:r>
    </w:p>
    <w:p w:rsidR="00FF0CB6" w:rsidRPr="00FF0CB6" w:rsidRDefault="00FF0CB6" w:rsidP="00FF0CB6">
      <w:pPr>
        <w:spacing w:before="0" w:beforeAutospacing="0" w:after="0" w:afterAutospacing="0"/>
        <w:jc w:val="left"/>
        <w:rPr>
          <w:rFonts w:eastAsiaTheme="minorHAnsi"/>
          <w:color w:val="auto"/>
          <w:szCs w:val="24"/>
          <w:lang w:eastAsia="en-US"/>
        </w:rPr>
      </w:pPr>
    </w:p>
    <w:p w:rsidR="00FF0CB6" w:rsidRPr="00FF0CB6" w:rsidRDefault="00FF0CB6" w:rsidP="00FF0CB6">
      <w:pPr>
        <w:spacing w:before="0" w:beforeAutospacing="0" w:after="0" w:afterAutospacing="0"/>
        <w:jc w:val="left"/>
        <w:rPr>
          <w:rFonts w:eastAsiaTheme="minorHAnsi"/>
          <w:color w:val="auto"/>
          <w:szCs w:val="24"/>
          <w:lang w:eastAsia="en-US"/>
        </w:rPr>
      </w:pPr>
      <w:r w:rsidRPr="00FF0CB6">
        <w:rPr>
          <w:rFonts w:eastAsiaTheme="minorHAnsi"/>
          <w:color w:val="auto"/>
          <w:szCs w:val="24"/>
          <w:lang w:eastAsia="en-US"/>
        </w:rPr>
        <w:t xml:space="preserve">Okres ten uwzględnia się przy ustalaniu kapitału początkowego oraz przy ustalaniu prawa do emerytury i renty z tytułu niezdolności do pracy oraz ich wysokości. </w:t>
      </w:r>
    </w:p>
    <w:p w:rsidR="00FF0CB6" w:rsidRPr="00FF0CB6" w:rsidRDefault="00FF0CB6" w:rsidP="00FF0CB6">
      <w:pPr>
        <w:spacing w:before="0" w:beforeAutospacing="0" w:after="0" w:afterAutospacing="0"/>
        <w:jc w:val="left"/>
        <w:rPr>
          <w:rFonts w:eastAsiaTheme="minorHAnsi"/>
          <w:b/>
          <w:bCs/>
          <w:color w:val="auto"/>
          <w:szCs w:val="24"/>
          <w:lang w:eastAsia="en-US"/>
        </w:rPr>
      </w:pPr>
      <w:r w:rsidRPr="00FF0CB6">
        <w:rPr>
          <w:rFonts w:eastAsiaTheme="minorHAnsi"/>
          <w:color w:val="auto"/>
          <w:szCs w:val="24"/>
          <w:lang w:eastAsia="en-US"/>
        </w:rPr>
        <w:br/>
      </w:r>
      <w:r w:rsidRPr="00FF0CB6">
        <w:rPr>
          <w:rFonts w:eastAsiaTheme="minorHAnsi"/>
          <w:b/>
          <w:bCs/>
          <w:color w:val="auto"/>
          <w:szCs w:val="24"/>
          <w:lang w:eastAsia="en-US"/>
        </w:rPr>
        <w:t>Korzystniejsze obliczenie emerytur i rent</w:t>
      </w:r>
      <w:r w:rsidRPr="00FF0CB6">
        <w:rPr>
          <w:rFonts w:eastAsiaTheme="minorHAnsi"/>
          <w:b/>
          <w:bCs/>
          <w:color w:val="auto"/>
          <w:szCs w:val="24"/>
          <w:lang w:eastAsia="en-US"/>
        </w:rPr>
        <w:br/>
      </w:r>
    </w:p>
    <w:p w:rsidR="00FF0CB6" w:rsidRPr="00FF0CB6" w:rsidRDefault="00FF0CB6" w:rsidP="00FF0CB6">
      <w:pPr>
        <w:spacing w:before="0" w:beforeAutospacing="0" w:after="0" w:afterAutospacing="0"/>
        <w:jc w:val="left"/>
        <w:rPr>
          <w:rFonts w:eastAsiaTheme="minorHAnsi"/>
          <w:color w:val="auto"/>
          <w:szCs w:val="24"/>
          <w:lang w:eastAsia="en-US"/>
        </w:rPr>
      </w:pPr>
      <w:r w:rsidRPr="00FF0CB6">
        <w:rPr>
          <w:rFonts w:eastAsiaTheme="minorHAnsi"/>
          <w:color w:val="auto"/>
          <w:szCs w:val="24"/>
          <w:lang w:eastAsia="en-US"/>
        </w:rPr>
        <w:t>Ustawa wprowadziła również możliwość obliczenia kapitału początkowego, emerytury lub renty z tytułu niezdolności do pracy przy uwzględnieniu kwoty przeciętnego wynagrodzenia za ww. okres pozbawienia możliwości wykonywania swojego zawodu. ZUS zastosuje ten przepis, jeśli jest to korzystniejsze dla klienta niż zasady ogólne.</w:t>
      </w:r>
      <w:r w:rsidRPr="00FF0CB6">
        <w:rPr>
          <w:rFonts w:eastAsiaTheme="minorHAnsi"/>
          <w:color w:val="auto"/>
          <w:szCs w:val="24"/>
          <w:lang w:eastAsia="en-US"/>
        </w:rPr>
        <w:br/>
      </w:r>
      <w:r w:rsidRPr="00FF0CB6">
        <w:rPr>
          <w:rFonts w:eastAsiaTheme="minorHAnsi"/>
          <w:color w:val="auto"/>
          <w:szCs w:val="24"/>
          <w:lang w:eastAsia="en-US"/>
        </w:rPr>
        <w:br/>
        <w:t xml:space="preserve">Dotyczy to także następujących okresów: osadzenia w więzieniach lub innych miejscach odosobnienia na terytorium Polski na mocy skazania albo bez wyroku po dniu 31 grudnia 1955 r. za działalność polityczną, świadczenia pracy po 1956 r. na rzecz organizacji politycznych i związków zawodowych, nielegalnych w rozumieniu przepisów </w:t>
      </w:r>
      <w:r w:rsidRPr="00FF0CB6">
        <w:rPr>
          <w:rFonts w:eastAsiaTheme="minorHAnsi"/>
          <w:color w:val="auto"/>
          <w:szCs w:val="24"/>
          <w:lang w:eastAsia="en-US"/>
        </w:rPr>
        <w:lastRenderedPageBreak/>
        <w:t>obowiązujących do kwietnia 1989 r.</w:t>
      </w:r>
      <w:r>
        <w:rPr>
          <w:rFonts w:eastAsiaTheme="minorHAnsi"/>
          <w:color w:val="auto"/>
          <w:szCs w:val="24"/>
          <w:lang w:eastAsia="en-US"/>
        </w:rPr>
        <w:t>,</w:t>
      </w:r>
      <w:r w:rsidRPr="00FF0CB6">
        <w:rPr>
          <w:rFonts w:eastAsiaTheme="minorHAnsi"/>
          <w:color w:val="auto"/>
          <w:szCs w:val="24"/>
          <w:lang w:eastAsia="en-US"/>
        </w:rPr>
        <w:t xml:space="preserve"> niewykonywania pracy przed dniem 31 lipca 1990 r. na skutek represji politycznych, </w:t>
      </w:r>
      <w:r>
        <w:rPr>
          <w:rFonts w:eastAsiaTheme="minorHAnsi"/>
          <w:color w:val="auto"/>
          <w:szCs w:val="24"/>
          <w:lang w:eastAsia="en-US"/>
        </w:rPr>
        <w:t>a także</w:t>
      </w:r>
      <w:r w:rsidRPr="00FF0CB6">
        <w:rPr>
          <w:rFonts w:eastAsiaTheme="minorHAnsi"/>
          <w:color w:val="auto"/>
          <w:szCs w:val="24"/>
          <w:lang w:eastAsia="en-US"/>
        </w:rPr>
        <w:t xml:space="preserve"> internowania na podstawie art. 42 dekretu z dnia 12 grudnia 1981 r. o stanie wojennym.</w:t>
      </w:r>
    </w:p>
    <w:p w:rsidR="00FF0CB6" w:rsidRPr="00FF0CB6" w:rsidRDefault="00FF0CB6" w:rsidP="00FF0CB6">
      <w:pPr>
        <w:spacing w:before="0" w:beforeAutospacing="0" w:after="0" w:afterAutospacing="0"/>
        <w:jc w:val="left"/>
        <w:rPr>
          <w:rFonts w:eastAsiaTheme="minorHAnsi"/>
          <w:color w:val="auto"/>
          <w:szCs w:val="24"/>
          <w:lang w:eastAsia="en-US"/>
        </w:rPr>
      </w:pPr>
    </w:p>
    <w:p w:rsidR="00FF0CB6" w:rsidRPr="00FF0CB6" w:rsidRDefault="00FF0CB6" w:rsidP="00FF0CB6">
      <w:pPr>
        <w:spacing w:before="0" w:beforeAutospacing="0" w:after="0" w:afterAutospacing="0"/>
        <w:jc w:val="left"/>
        <w:rPr>
          <w:rFonts w:eastAsiaTheme="minorHAnsi"/>
          <w:color w:val="auto"/>
          <w:szCs w:val="24"/>
          <w:lang w:eastAsia="en-US"/>
        </w:rPr>
      </w:pPr>
      <w:r w:rsidRPr="00FF0CB6">
        <w:rPr>
          <w:rFonts w:eastAsiaTheme="minorHAnsi"/>
          <w:color w:val="auto"/>
          <w:szCs w:val="24"/>
          <w:lang w:eastAsia="en-US"/>
        </w:rPr>
        <w:t xml:space="preserve">Osoby, które mają ustalony kapitał początkowy albo obliczoną wysokość emerytury, renty z tytułu niezdolności do pracy przed 1 czerwca 2021 r., w celu ich przeliczenia z uwzględnieniem zmienionych przepisów, powinny złożyć odpowiednio wniosek </w:t>
      </w:r>
      <w:r w:rsidRPr="00FF0CB6">
        <w:rPr>
          <w:rFonts w:eastAsiaTheme="minorHAnsi"/>
          <w:bCs/>
          <w:color w:val="auto"/>
          <w:szCs w:val="24"/>
          <w:lang w:eastAsia="en-US"/>
        </w:rPr>
        <w:t>w sprawie kapitału początkowego (EKP) lub wniosek o ponowne obliczenie świadczenia emerytalno-rentowego (ERPO)</w:t>
      </w:r>
      <w:r w:rsidRPr="00FF0CB6">
        <w:rPr>
          <w:rFonts w:eastAsiaTheme="minorHAnsi"/>
          <w:color w:val="auto"/>
          <w:szCs w:val="24"/>
          <w:lang w:eastAsia="en-US"/>
        </w:rPr>
        <w:t xml:space="preserve">. Do wniosku należy dołączyć decyzję Szefa Urzędu do Spraw Kombatantów i Osób Represjonowanych, która potwierdza wspomniane okresy. Osoby, które już wcześniej przekazały ZUS taką decyzję, powinny złożyć sam wniosek.  </w:t>
      </w:r>
    </w:p>
    <w:p w:rsidR="00FF0CB6" w:rsidRPr="00FF0CB6" w:rsidRDefault="00FF0CB6" w:rsidP="00FF0CB6">
      <w:pPr>
        <w:spacing w:before="0" w:beforeAutospacing="0" w:after="0" w:afterAutospacing="0"/>
        <w:jc w:val="left"/>
        <w:rPr>
          <w:rFonts w:eastAsiaTheme="minorHAnsi"/>
          <w:color w:val="auto"/>
          <w:szCs w:val="24"/>
          <w:lang w:eastAsia="en-US"/>
        </w:rPr>
      </w:pPr>
    </w:p>
    <w:p w:rsidR="00FF0CB6" w:rsidRPr="00FF0CB6" w:rsidRDefault="00FF0CB6" w:rsidP="00FF0CB6">
      <w:pPr>
        <w:spacing w:before="0" w:beforeAutospacing="0" w:after="0" w:afterAutospacing="0"/>
        <w:jc w:val="left"/>
        <w:rPr>
          <w:rFonts w:eastAsiaTheme="minorHAnsi"/>
          <w:color w:val="auto"/>
          <w:szCs w:val="24"/>
          <w:lang w:eastAsia="en-US"/>
        </w:rPr>
      </w:pPr>
      <w:r w:rsidRPr="00FF0CB6">
        <w:rPr>
          <w:rFonts w:eastAsiaTheme="minorHAnsi"/>
          <w:color w:val="auto"/>
          <w:szCs w:val="24"/>
          <w:lang w:eastAsia="en-US"/>
        </w:rPr>
        <w:t>Emerytura lub renta w nowej wysokości będzie przysługiwać od miesiąca zgłoszenia wniosku, nie wcześniej niż od 1 czerwca 2021 r.</w:t>
      </w:r>
    </w:p>
    <w:p w:rsidR="00FF0CB6" w:rsidRPr="00FF0CB6" w:rsidRDefault="00FF0CB6" w:rsidP="00FF0CB6">
      <w:pPr>
        <w:spacing w:before="0" w:beforeAutospacing="0" w:after="0" w:afterAutospacing="0"/>
        <w:jc w:val="left"/>
        <w:rPr>
          <w:rFonts w:eastAsiaTheme="minorHAnsi"/>
          <w:color w:val="auto"/>
          <w:szCs w:val="24"/>
          <w:lang w:eastAsia="en-US"/>
        </w:rPr>
      </w:pPr>
    </w:p>
    <w:p w:rsidR="00FF0CB6" w:rsidRPr="00FF0CB6" w:rsidRDefault="00FF0CB6" w:rsidP="00FF0CB6">
      <w:pPr>
        <w:spacing w:before="0" w:beforeAutospacing="0" w:after="0" w:afterAutospacing="0"/>
        <w:jc w:val="left"/>
        <w:rPr>
          <w:rFonts w:eastAsiaTheme="minorHAnsi"/>
          <w:szCs w:val="24"/>
          <w:lang w:eastAsia="en-US"/>
        </w:rPr>
      </w:pPr>
      <w:r w:rsidRPr="00FF0CB6">
        <w:rPr>
          <w:rFonts w:eastAsiaTheme="minorHAnsi"/>
          <w:color w:val="auto"/>
          <w:szCs w:val="24"/>
          <w:lang w:eastAsia="en-US"/>
        </w:rPr>
        <w:t>Ze zmian przepisów mogą także skorzystać osoby pobierające renty rodzinne po ubezpieczonych, którzy posiadali wskazane okresy. W celu przeliczenia renty rodzinnej należy zgłosić wniosek o jej ponowne obliczenie.</w:t>
      </w:r>
    </w:p>
    <w:p w:rsidR="00637029" w:rsidRPr="00CC79C7" w:rsidRDefault="00637029" w:rsidP="00CC79C7">
      <w:pPr>
        <w:shd w:val="clear" w:color="auto" w:fill="FFFFFF"/>
        <w:spacing w:before="0" w:beforeAutospacing="0" w:after="0" w:afterAutospacing="0" w:line="276" w:lineRule="auto"/>
        <w:rPr>
          <w:rFonts w:asciiTheme="minorHAnsi" w:hAnsiTheme="minorHAnsi" w:cs="Helvetica"/>
          <w:i/>
          <w:szCs w:val="24"/>
        </w:rPr>
      </w:pPr>
    </w:p>
    <w:p w:rsidR="00FF0CB6" w:rsidRDefault="00FF0CB6" w:rsidP="00CC79C7">
      <w:pPr>
        <w:shd w:val="clear" w:color="auto" w:fill="FFFFFF"/>
        <w:spacing w:before="0" w:beforeAutospacing="0" w:after="0" w:afterAutospacing="0" w:line="276" w:lineRule="auto"/>
        <w:rPr>
          <w:rFonts w:asciiTheme="minorHAnsi" w:hAnsiTheme="minorHAnsi" w:cs="Helvetica"/>
          <w:i/>
          <w:szCs w:val="24"/>
        </w:rPr>
      </w:pPr>
    </w:p>
    <w:p w:rsidR="00DF5B90" w:rsidRDefault="00FF0CB6" w:rsidP="00CC79C7">
      <w:pPr>
        <w:shd w:val="clear" w:color="auto" w:fill="FFFFFF"/>
        <w:spacing w:before="0" w:beforeAutospacing="0" w:after="0" w:afterAutospacing="0" w:line="276" w:lineRule="auto"/>
        <w:rPr>
          <w:rFonts w:asciiTheme="minorHAnsi" w:hAnsiTheme="minorHAnsi" w:cs="Helvetica"/>
          <w:i/>
          <w:szCs w:val="24"/>
        </w:rPr>
      </w:pPr>
      <w:bookmarkStart w:id="0" w:name="_GoBack"/>
      <w:bookmarkEnd w:id="0"/>
      <w:r>
        <w:rPr>
          <w:rFonts w:asciiTheme="minorHAnsi" w:hAnsiTheme="minorHAnsi" w:cs="Helvetica"/>
          <w:i/>
          <w:szCs w:val="24"/>
        </w:rPr>
        <w:t>Marlena Nowicka</w:t>
      </w:r>
    </w:p>
    <w:p w:rsidR="00FF0CB6" w:rsidRDefault="00FF0CB6" w:rsidP="00CC79C7">
      <w:pPr>
        <w:shd w:val="clear" w:color="auto" w:fill="FFFFFF"/>
        <w:spacing w:before="0" w:beforeAutospacing="0" w:after="0" w:afterAutospacing="0" w:line="276" w:lineRule="auto"/>
        <w:rPr>
          <w:rFonts w:asciiTheme="minorHAnsi" w:hAnsiTheme="minorHAnsi" w:cs="Helvetica"/>
          <w:i/>
          <w:szCs w:val="24"/>
        </w:rPr>
      </w:pPr>
      <w:r>
        <w:rPr>
          <w:rFonts w:asciiTheme="minorHAnsi" w:hAnsiTheme="minorHAnsi" w:cs="Helvetica"/>
          <w:i/>
          <w:szCs w:val="24"/>
        </w:rPr>
        <w:t xml:space="preserve">Regionalna Rzeczniczka Prasowa </w:t>
      </w:r>
    </w:p>
    <w:p w:rsidR="00FF0CB6" w:rsidRPr="00CC79C7" w:rsidRDefault="00FF0CB6" w:rsidP="00CC79C7">
      <w:pPr>
        <w:shd w:val="clear" w:color="auto" w:fill="FFFFFF"/>
        <w:spacing w:before="0" w:beforeAutospacing="0" w:after="0" w:afterAutospacing="0" w:line="276" w:lineRule="auto"/>
        <w:rPr>
          <w:rFonts w:asciiTheme="minorHAnsi" w:hAnsiTheme="minorHAnsi" w:cs="Helvetica"/>
          <w:i/>
          <w:szCs w:val="24"/>
        </w:rPr>
      </w:pPr>
      <w:r>
        <w:rPr>
          <w:rFonts w:asciiTheme="minorHAnsi" w:hAnsiTheme="minorHAnsi" w:cs="Helvetica"/>
          <w:i/>
          <w:szCs w:val="24"/>
        </w:rPr>
        <w:t>ZUS w Wielkopolsce</w:t>
      </w:r>
    </w:p>
    <w:sectPr w:rsidR="00FF0CB6" w:rsidRPr="00CC79C7">
      <w:footerReference w:type="default" r:id="rId8"/>
      <w:footerReference w:type="first" r:id="rId9"/>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44A" w:rsidRDefault="0002544A">
      <w:pPr>
        <w:spacing w:before="0" w:after="0"/>
      </w:pPr>
      <w:r>
        <w:separator/>
      </w:r>
    </w:p>
  </w:endnote>
  <w:endnote w:type="continuationSeparator" w:id="0">
    <w:p w:rsidR="0002544A" w:rsidRDefault="000254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FF0CB6">
      <w:rPr>
        <w:rStyle w:val="StopkastronyZnak"/>
        <w:noProof/>
      </w:rPr>
      <w:t>2</w:t>
    </w:r>
    <w:r>
      <w:rPr>
        <w:rStyle w:val="StopkastronyZnak"/>
      </w:rPr>
      <w:fldChar w:fldCharType="end"/>
    </w:r>
    <w:r>
      <w:rPr>
        <w:rStyle w:val="StopkastronyZnak"/>
      </w:rPr>
      <w:t xml:space="preserve"> / </w:t>
    </w:r>
    <w:fldSimple w:instr=" NUMPAGES  \* MERGEFORMAT ">
      <w:r w:rsidR="00FF0CB6" w:rsidRPr="00FF0CB6">
        <w:rPr>
          <w:rStyle w:val="StopkastronyZnak"/>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info"/>
      <w:tabs>
        <w:tab w:val="center" w:pos="4536"/>
        <w:tab w:val="right" w:pos="8931"/>
      </w:tabs>
    </w:pPr>
    <w:r>
      <w:rPr>
        <w:noProof/>
      </w:rPr>
      <w:drawing>
        <wp:anchor distT="0" distB="0" distL="114300" distR="114300" simplePos="0" relativeHeight="251658240" behindDoc="0" locked="0" layoutInCell="0" allowOverlap="1" wp14:anchorId="30AC7AF7" wp14:editId="63F61D83">
          <wp:simplePos x="0" y="0"/>
          <wp:positionH relativeFrom="column">
            <wp:posOffset>12065</wp:posOffset>
          </wp:positionH>
          <wp:positionV relativeFrom="paragraph">
            <wp:posOffset>121285</wp:posOffset>
          </wp:positionV>
          <wp:extent cx="5696585" cy="15240"/>
          <wp:effectExtent l="0" t="0" r="0" b="0"/>
          <wp:wrapNone/>
          <wp:docPr id="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44A" w:rsidRDefault="0002544A">
      <w:pPr>
        <w:spacing w:before="0" w:after="0"/>
      </w:pPr>
      <w:r>
        <w:separator/>
      </w:r>
    </w:p>
  </w:footnote>
  <w:footnote w:type="continuationSeparator" w:id="0">
    <w:p w:rsidR="0002544A" w:rsidRDefault="0002544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C4"/>
    <w:rsid w:val="0002544A"/>
    <w:rsid w:val="0003733C"/>
    <w:rsid w:val="00063943"/>
    <w:rsid w:val="000675D1"/>
    <w:rsid w:val="000E2A9E"/>
    <w:rsid w:val="00151F89"/>
    <w:rsid w:val="001554E1"/>
    <w:rsid w:val="00204846"/>
    <w:rsid w:val="00286D95"/>
    <w:rsid w:val="002C0883"/>
    <w:rsid w:val="002C2B21"/>
    <w:rsid w:val="00374BC5"/>
    <w:rsid w:val="003D3155"/>
    <w:rsid w:val="0046767C"/>
    <w:rsid w:val="00496F48"/>
    <w:rsid w:val="00592CB3"/>
    <w:rsid w:val="005E3DE3"/>
    <w:rsid w:val="005E683D"/>
    <w:rsid w:val="005F1081"/>
    <w:rsid w:val="00612656"/>
    <w:rsid w:val="00637029"/>
    <w:rsid w:val="006C0EFF"/>
    <w:rsid w:val="006E4CF3"/>
    <w:rsid w:val="00712BCC"/>
    <w:rsid w:val="00725AF5"/>
    <w:rsid w:val="007A6BEE"/>
    <w:rsid w:val="007C36C6"/>
    <w:rsid w:val="0083665B"/>
    <w:rsid w:val="00841560"/>
    <w:rsid w:val="0091680F"/>
    <w:rsid w:val="0096435C"/>
    <w:rsid w:val="0099205E"/>
    <w:rsid w:val="009C7269"/>
    <w:rsid w:val="009F21B1"/>
    <w:rsid w:val="009F4D40"/>
    <w:rsid w:val="00A93999"/>
    <w:rsid w:val="00AD7739"/>
    <w:rsid w:val="00B2109E"/>
    <w:rsid w:val="00B27706"/>
    <w:rsid w:val="00B316E3"/>
    <w:rsid w:val="00BD516C"/>
    <w:rsid w:val="00C0484C"/>
    <w:rsid w:val="00C143E6"/>
    <w:rsid w:val="00CC79C7"/>
    <w:rsid w:val="00D36A83"/>
    <w:rsid w:val="00D6582B"/>
    <w:rsid w:val="00D857BF"/>
    <w:rsid w:val="00D978C4"/>
    <w:rsid w:val="00DD5656"/>
    <w:rsid w:val="00DF5B90"/>
    <w:rsid w:val="00E06176"/>
    <w:rsid w:val="00E17444"/>
    <w:rsid w:val="00E731DE"/>
    <w:rsid w:val="00E94112"/>
    <w:rsid w:val="00EB0B1D"/>
    <w:rsid w:val="00EF3EAE"/>
    <w:rsid w:val="00F00D7C"/>
    <w:rsid w:val="00FE1E5F"/>
    <w:rsid w:val="00FF0CB6"/>
    <w:rsid w:val="00FF42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 w:type="paragraph" w:styleId="NormalnyWeb">
    <w:name w:val="Normal (Web)"/>
    <w:basedOn w:val="Normalny"/>
    <w:uiPriority w:val="99"/>
    <w:unhideWhenUsed/>
    <w:rsid w:val="00E731DE"/>
    <w:pPr>
      <w:jc w:val="left"/>
    </w:pPr>
    <w:rPr>
      <w:rFonts w:ascii="Times New Roman" w:eastAsiaTheme="minorHAnsi" w:hAnsi="Times New Roman"/>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 w:type="paragraph" w:styleId="NormalnyWeb">
    <w:name w:val="Normal (Web)"/>
    <w:basedOn w:val="Normalny"/>
    <w:uiPriority w:val="99"/>
    <w:unhideWhenUsed/>
    <w:rsid w:val="00E731DE"/>
    <w:pPr>
      <w:jc w:val="left"/>
    </w:pPr>
    <w:rPr>
      <w:rFonts w:ascii="Times New Roman" w:eastAsiaTheme="minorHAnsi"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56494">
      <w:bodyDiv w:val="1"/>
      <w:marLeft w:val="0"/>
      <w:marRight w:val="0"/>
      <w:marTop w:val="0"/>
      <w:marBottom w:val="0"/>
      <w:divBdr>
        <w:top w:val="none" w:sz="0" w:space="0" w:color="auto"/>
        <w:left w:val="none" w:sz="0" w:space="0" w:color="auto"/>
        <w:bottom w:val="none" w:sz="0" w:space="0" w:color="auto"/>
        <w:right w:val="none" w:sz="0" w:space="0" w:color="auto"/>
      </w:divBdr>
    </w:div>
    <w:div w:id="1101874769">
      <w:bodyDiv w:val="1"/>
      <w:marLeft w:val="0"/>
      <w:marRight w:val="0"/>
      <w:marTop w:val="0"/>
      <w:marBottom w:val="0"/>
      <w:divBdr>
        <w:top w:val="none" w:sz="0" w:space="0" w:color="auto"/>
        <w:left w:val="none" w:sz="0" w:space="0" w:color="auto"/>
        <w:bottom w:val="none" w:sz="0" w:space="0" w:color="auto"/>
        <w:right w:val="none" w:sz="0" w:space="0" w:color="auto"/>
      </w:divBdr>
    </w:div>
    <w:div w:id="1193574113">
      <w:bodyDiv w:val="1"/>
      <w:marLeft w:val="0"/>
      <w:marRight w:val="0"/>
      <w:marTop w:val="0"/>
      <w:marBottom w:val="0"/>
      <w:divBdr>
        <w:top w:val="none" w:sz="0" w:space="0" w:color="auto"/>
        <w:left w:val="none" w:sz="0" w:space="0" w:color="auto"/>
        <w:bottom w:val="none" w:sz="0" w:space="0" w:color="auto"/>
        <w:right w:val="none" w:sz="0" w:space="0" w:color="auto"/>
      </w:divBdr>
    </w:div>
    <w:div w:id="1607932017">
      <w:bodyDiv w:val="1"/>
      <w:marLeft w:val="0"/>
      <w:marRight w:val="0"/>
      <w:marTop w:val="0"/>
      <w:marBottom w:val="0"/>
      <w:divBdr>
        <w:top w:val="none" w:sz="0" w:space="0" w:color="auto"/>
        <w:left w:val="none" w:sz="0" w:space="0" w:color="auto"/>
        <w:bottom w:val="none" w:sz="0" w:space="0" w:color="auto"/>
        <w:right w:val="none" w:sz="0" w:space="0" w:color="auto"/>
      </w:divBdr>
    </w:div>
    <w:div w:id="1733890837">
      <w:bodyDiv w:val="1"/>
      <w:marLeft w:val="0"/>
      <w:marRight w:val="0"/>
      <w:marTop w:val="0"/>
      <w:marBottom w:val="0"/>
      <w:divBdr>
        <w:top w:val="none" w:sz="0" w:space="0" w:color="auto"/>
        <w:left w:val="none" w:sz="0" w:space="0" w:color="auto"/>
        <w:bottom w:val="none" w:sz="0" w:space="0" w:color="auto"/>
        <w:right w:val="none" w:sz="0" w:space="0" w:color="auto"/>
      </w:divBdr>
      <w:divsChild>
        <w:div w:id="1605768612">
          <w:marLeft w:val="0"/>
          <w:marRight w:val="0"/>
          <w:marTop w:val="0"/>
          <w:marBottom w:val="0"/>
          <w:divBdr>
            <w:top w:val="none" w:sz="0" w:space="0" w:color="auto"/>
            <w:left w:val="none" w:sz="0" w:space="0" w:color="auto"/>
            <w:bottom w:val="single" w:sz="6" w:space="19" w:color="E7E7E7"/>
            <w:right w:val="none" w:sz="0" w:space="0" w:color="auto"/>
          </w:divBdr>
        </w:div>
        <w:div w:id="537015252">
          <w:marLeft w:val="0"/>
          <w:marRight w:val="0"/>
          <w:marTop w:val="566"/>
          <w:marBottom w:val="686"/>
          <w:divBdr>
            <w:top w:val="none" w:sz="0" w:space="0" w:color="auto"/>
            <w:left w:val="none" w:sz="0" w:space="0" w:color="auto"/>
            <w:bottom w:val="none" w:sz="0" w:space="0" w:color="auto"/>
            <w:right w:val="none" w:sz="0" w:space="0" w:color="auto"/>
          </w:divBdr>
          <w:divsChild>
            <w:div w:id="10895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8777">
      <w:bodyDiv w:val="1"/>
      <w:marLeft w:val="0"/>
      <w:marRight w:val="0"/>
      <w:marTop w:val="0"/>
      <w:marBottom w:val="0"/>
      <w:divBdr>
        <w:top w:val="none" w:sz="0" w:space="0" w:color="auto"/>
        <w:left w:val="none" w:sz="0" w:space="0" w:color="auto"/>
        <w:bottom w:val="none" w:sz="0" w:space="0" w:color="auto"/>
        <w:right w:val="none" w:sz="0" w:space="0" w:color="auto"/>
      </w:divBdr>
    </w:div>
    <w:div w:id="1893033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3042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Nowicka, Marlena</dc:creator>
  <cp:lastModifiedBy>Nowicka, Marlena</cp:lastModifiedBy>
  <cp:revision>2</cp:revision>
  <cp:lastPrinted>2017-08-31T10:00:00Z</cp:lastPrinted>
  <dcterms:created xsi:type="dcterms:W3CDTF">2021-06-14T09:35:00Z</dcterms:created>
  <dcterms:modified xsi:type="dcterms:W3CDTF">2021-06-14T09:35:00Z</dcterms:modified>
</cp:coreProperties>
</file>