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bCs/>
          <w:sz w:val="28"/>
          <w:szCs w:val="28"/>
        </w:rPr>
      </w:pPr>
      <w:r>
        <w:rPr>
          <w:rFonts w:cs="Calibri"/>
          <w:b/>
          <w:bCs/>
          <w:sz w:val="28"/>
          <w:szCs w:val="28"/>
        </w:rPr>
        <w:t>ANALIZA STANU GOSPODARKI ODPADAMI KOMUNALNYMI NA TERENIE GMINY PELPLIN ZA ROK 2024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Calibri" w:hAnsi="Calibri" w:cs="Calibri"/>
          <w:b/>
          <w:b/>
          <w:sz w:val="28"/>
          <w:szCs w:val="28"/>
        </w:rPr>
      </w:pPr>
      <w:r>
        <w:rPr>
          <w:rFonts w:cs="Calibri"/>
          <w:b/>
          <w:sz w:val="28"/>
          <w:szCs w:val="28"/>
        </w:rPr>
        <w:t>I WPROWADZENIE</w:t>
      </w:r>
    </w:p>
    <w:p>
      <w:pPr>
        <w:pStyle w:val="Normal"/>
        <w:jc w:val="both"/>
        <w:rPr>
          <w:rFonts w:ascii="Calibri" w:hAnsi="Calibri" w:cs="Calibri"/>
          <w:b/>
          <w:b/>
          <w:sz w:val="28"/>
          <w:szCs w:val="28"/>
        </w:rPr>
      </w:pPr>
      <w:r>
        <w:rPr>
          <w:rFonts w:cs="Calibri"/>
          <w:b/>
          <w:sz w:val="28"/>
          <w:szCs w:val="28"/>
        </w:rPr>
      </w:r>
    </w:p>
    <w:p>
      <w:pPr>
        <w:pStyle w:val="ListParagraph"/>
        <w:numPr>
          <w:ilvl w:val="1"/>
          <w:numId w:val="1"/>
        </w:numPr>
        <w:jc w:val="both"/>
        <w:rPr>
          <w:rFonts w:ascii="Calibri" w:hAnsi="Calibri" w:cs="Calibri"/>
          <w:b/>
          <w:b/>
          <w:bCs/>
          <w:sz w:val="24"/>
          <w:szCs w:val="24"/>
          <w:u w:val="single"/>
        </w:rPr>
      </w:pPr>
      <w:r>
        <w:rPr>
          <w:rFonts w:cs="Calibri"/>
          <w:b/>
          <w:bCs/>
          <w:sz w:val="24"/>
          <w:szCs w:val="24"/>
          <w:u w:val="single"/>
        </w:rPr>
        <w:t>CEL PRZYGOTOWANIA ANALIZY STANU GOSPODARKI ODPADAMI KOMUNALNYMI NA TERENIE GMINY.</w:t>
      </w:r>
    </w:p>
    <w:p>
      <w:pPr>
        <w:pStyle w:val="Normal"/>
        <w:jc w:val="both"/>
        <w:rPr>
          <w:rFonts w:cs="Calibri" w:cstheme="minorHAnsi"/>
          <w:sz w:val="24"/>
          <w:szCs w:val="24"/>
        </w:rPr>
      </w:pPr>
      <w:r>
        <w:rPr>
          <w:rFonts w:cs="Calibri" w:cstheme="minorHAnsi"/>
          <w:sz w:val="24"/>
          <w:szCs w:val="24"/>
        </w:rPr>
        <w:t>Dokument ten stanowi roczną analizę stanu gospodarki odpadami komunalnymi na terenie gminy Pelplin. Analiza została sporządzona w celu realizacji obowiązków nałożonych na gminy przez obowiązujące w Polsce prawo w zakresie gospodarowania odpadami komunalnymi.</w:t>
      </w:r>
    </w:p>
    <w:p>
      <w:pPr>
        <w:pStyle w:val="Normal"/>
        <w:jc w:val="both"/>
        <w:rPr>
          <w:rFonts w:ascii="Calibri" w:hAnsi="Calibri" w:cs="Calibri"/>
          <w:sz w:val="24"/>
          <w:szCs w:val="24"/>
        </w:rPr>
      </w:pPr>
      <w:r>
        <w:rPr>
          <w:rFonts w:cs="Calibri"/>
          <w:sz w:val="24"/>
          <w:szCs w:val="24"/>
        </w:rPr>
        <w:t xml:space="preserve">Istotą analizy jest przygotowanie informacji niezbędnych do stworzenia efektywnego systemu gospodarki odpadami komunalnymi. Ma ona dostarczyć wiedzy na temat obecnego stanu gospodarki odpadami na terenie gminy Pelplin oraz zweryfikować możliwości techniczne </w:t>
        <w:br/>
        <w:t>i organizacyjne gminy w zakresie przetwarzania zmieszanych odpadów komunalnych, odpadów zielonych oraz potrzeb inwestycyjnych, a także kosztów związanych z gminnym systemem gospodarki odpadami komunalnymi.</w:t>
      </w:r>
    </w:p>
    <w:p>
      <w:pPr>
        <w:pStyle w:val="Normal"/>
        <w:jc w:val="both"/>
        <w:rPr>
          <w:rFonts w:ascii="Calibri" w:hAnsi="Calibri" w:cs="Calibri"/>
          <w:sz w:val="24"/>
          <w:szCs w:val="24"/>
        </w:rPr>
      </w:pPr>
      <w:r>
        <w:rPr>
          <w:rFonts w:cs="Calibri"/>
          <w:sz w:val="24"/>
          <w:szCs w:val="24"/>
        </w:rPr>
        <w:t>Analiza została przygotowana na podstawie sprawozdań złożonych przez podmioty odbierające odpady komunalne od właścicieli nieruchomości oraz podmiot prowadzący punkt selektywnej zbiórki odpadów</w:t>
      </w:r>
      <w:r>
        <w:rPr>
          <w:rFonts w:cs="Calibri"/>
          <w:sz w:val="24"/>
          <w:szCs w:val="24"/>
        </w:rPr>
        <w:t xml:space="preserve"> </w:t>
      </w:r>
      <w:r>
        <w:rPr>
          <w:rFonts w:cs="Calibri"/>
          <w:sz w:val="24"/>
          <w:szCs w:val="24"/>
        </w:rPr>
        <w:t>komunalnych.</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jc w:val="both"/>
        <w:rPr>
          <w:rFonts w:cs="Calibri" w:cstheme="minorHAnsi"/>
          <w:sz w:val="24"/>
          <w:szCs w:val="24"/>
          <w:u w:val="single"/>
        </w:rPr>
      </w:pPr>
      <w:r>
        <w:rPr>
          <w:rFonts w:cs="Calibri" w:cstheme="minorHAnsi"/>
          <w:b/>
          <w:bCs/>
          <w:sz w:val="24"/>
          <w:szCs w:val="24"/>
          <w:u w:val="single"/>
        </w:rPr>
        <w:t>PODSTAWA PRAWNA DO SPORZĄDZENIA ANALIZY</w:t>
      </w:r>
      <w:r>
        <w:rPr>
          <w:rFonts w:cs="Calibri" w:cstheme="minorHAnsi"/>
          <w:sz w:val="24"/>
          <w:szCs w:val="24"/>
          <w:u w:val="single"/>
        </w:rPr>
        <w:t>.</w:t>
      </w:r>
    </w:p>
    <w:p>
      <w:pPr>
        <w:pStyle w:val="Normal"/>
        <w:jc w:val="both"/>
        <w:rPr>
          <w:rFonts w:cs="Calibri" w:cstheme="minorHAnsi"/>
          <w:sz w:val="24"/>
          <w:szCs w:val="24"/>
        </w:rPr>
      </w:pPr>
      <w:r>
        <w:rPr>
          <w:rFonts w:cs="Calibri" w:cstheme="minorHAnsi"/>
          <w:sz w:val="24"/>
          <w:szCs w:val="24"/>
        </w:rPr>
        <w:t>Analizę sporządzono zgodnie z art. 3 ust. 2 pkt 10 oraz art. 9tb ustawy z dnia 13 września 1996r. o utrzymaniu czystości i porządku w gminach (Dz.U.2024.399 t.j. z dnia 2024.03.18) „Gminy dokonują corocznej analizy stanu gospodarki odpadami komunalnymi w celu weryfikacji możliwości technicznych i organizacyjnych gminy w zakresie gospodarowania odpadami komunalnymi.”</w:t>
      </w:r>
    </w:p>
    <w:p>
      <w:pPr>
        <w:pStyle w:val="Normal"/>
        <w:jc w:val="both"/>
        <w:rPr>
          <w:rFonts w:cs="Calibri" w:cstheme="minorHAnsi"/>
          <w:sz w:val="24"/>
          <w:szCs w:val="24"/>
        </w:rPr>
      </w:pPr>
      <w:r>
        <w:rPr>
          <w:rFonts w:cs="Calibri" w:cstheme="minorHAnsi"/>
          <w:sz w:val="24"/>
          <w:szCs w:val="24"/>
        </w:rPr>
        <w:t>Analiza swoim zakresem obejmuje w szczególności:</w:t>
      </w:r>
    </w:p>
    <w:p>
      <w:pPr>
        <w:pStyle w:val="ListParagraph"/>
        <w:numPr>
          <w:ilvl w:val="0"/>
          <w:numId w:val="2"/>
        </w:numPr>
        <w:jc w:val="both"/>
        <w:rPr>
          <w:rFonts w:cs="Calibri" w:cstheme="minorHAnsi"/>
          <w:sz w:val="24"/>
          <w:szCs w:val="24"/>
        </w:rPr>
      </w:pPr>
      <w:r>
        <w:rPr>
          <w:rFonts w:cs="Calibri" w:cstheme="minorHAnsi"/>
          <w:sz w:val="24"/>
          <w:szCs w:val="24"/>
        </w:rPr>
        <w:t>Możliwości przetwarzania zmieszanych odpadów komunalnych, odpadów zielonych oraz pozostałości z sortowania i pozostałości z mechaniczno – biologicznego przetwarzania odpadów komunalnych przeznaczonych do składowania;</w:t>
      </w:r>
    </w:p>
    <w:p>
      <w:pPr>
        <w:pStyle w:val="ListParagraph"/>
        <w:numPr>
          <w:ilvl w:val="0"/>
          <w:numId w:val="2"/>
        </w:numPr>
        <w:jc w:val="both"/>
        <w:rPr>
          <w:rFonts w:cs="Calibri" w:cstheme="minorHAnsi"/>
          <w:sz w:val="24"/>
          <w:szCs w:val="24"/>
        </w:rPr>
      </w:pPr>
      <w:r>
        <w:rPr>
          <w:rFonts w:cs="Calibri" w:cstheme="minorHAnsi"/>
          <w:sz w:val="24"/>
          <w:szCs w:val="24"/>
        </w:rPr>
        <w:t>Potrzeby inwestycyjne związane z gospodarowaniem odpadami komunalnymi;</w:t>
      </w:r>
    </w:p>
    <w:p>
      <w:pPr>
        <w:pStyle w:val="ListParagraph"/>
        <w:numPr>
          <w:ilvl w:val="0"/>
          <w:numId w:val="2"/>
        </w:numPr>
        <w:jc w:val="both"/>
        <w:rPr>
          <w:rFonts w:cs="Calibri" w:cstheme="minorHAnsi"/>
          <w:sz w:val="24"/>
          <w:szCs w:val="24"/>
        </w:rPr>
      </w:pPr>
      <w:r>
        <w:rPr>
          <w:rFonts w:cs="Calibri" w:cstheme="minorHAnsi"/>
          <w:sz w:val="24"/>
          <w:szCs w:val="24"/>
        </w:rPr>
        <w:t xml:space="preserve">Koszty poniesione w związku z odbieraniem, odzyskiem, recyklingiem </w:t>
        <w:br/>
        <w:t>i unieszkodliwianiem odpadów komunalnych;</w:t>
      </w:r>
    </w:p>
    <w:p>
      <w:pPr>
        <w:pStyle w:val="ListParagraph"/>
        <w:numPr>
          <w:ilvl w:val="0"/>
          <w:numId w:val="2"/>
        </w:numPr>
        <w:jc w:val="both"/>
        <w:rPr>
          <w:rFonts w:cs="Calibri" w:cstheme="minorHAnsi"/>
          <w:sz w:val="24"/>
          <w:szCs w:val="24"/>
        </w:rPr>
      </w:pPr>
      <w:r>
        <w:rPr>
          <w:rFonts w:cs="Calibri" w:cstheme="minorHAnsi"/>
          <w:sz w:val="24"/>
          <w:szCs w:val="24"/>
        </w:rPr>
        <w:t>Liczbę mieszkańców;</w:t>
      </w:r>
    </w:p>
    <w:p>
      <w:pPr>
        <w:pStyle w:val="ListParagraph"/>
        <w:numPr>
          <w:ilvl w:val="0"/>
          <w:numId w:val="2"/>
        </w:numPr>
        <w:jc w:val="both"/>
        <w:rPr>
          <w:rFonts w:cs="Calibri" w:cstheme="minorHAnsi"/>
          <w:sz w:val="24"/>
          <w:szCs w:val="24"/>
        </w:rPr>
      </w:pPr>
      <w:r>
        <w:rPr>
          <w:rFonts w:cs="Calibri" w:cstheme="minorHAnsi"/>
          <w:sz w:val="24"/>
          <w:szCs w:val="24"/>
        </w:rPr>
        <w:t xml:space="preserve">Liczbę właścicieli nieruchomości, którzy nie zawarli umowy o której mowa w art. 6 ust. </w:t>
        <w:br/>
        <w:t>1 , w imieniu których gmina powinna podjąć działania, o których mowa w art. 6 ust. 6-12 ustawy o utrzymaniu porządku i czystości w gminie;</w:t>
      </w:r>
    </w:p>
    <w:p>
      <w:pPr>
        <w:pStyle w:val="ListParagraph"/>
        <w:numPr>
          <w:ilvl w:val="0"/>
          <w:numId w:val="2"/>
        </w:numPr>
        <w:jc w:val="both"/>
        <w:rPr>
          <w:rFonts w:cs="Calibri" w:cstheme="minorHAnsi"/>
          <w:sz w:val="24"/>
          <w:szCs w:val="24"/>
        </w:rPr>
      </w:pPr>
      <w:r>
        <w:rPr>
          <w:rFonts w:cs="Calibri" w:cstheme="minorHAnsi"/>
          <w:sz w:val="24"/>
          <w:szCs w:val="24"/>
        </w:rPr>
        <w:t>Ilości odpadów komunalnych wytwarzanych na terenie gminy;</w:t>
      </w:r>
    </w:p>
    <w:p>
      <w:pPr>
        <w:pStyle w:val="ListParagraph"/>
        <w:numPr>
          <w:ilvl w:val="0"/>
          <w:numId w:val="2"/>
        </w:numPr>
        <w:jc w:val="both"/>
        <w:rPr>
          <w:rFonts w:cs="Calibri" w:cstheme="minorHAnsi"/>
          <w:sz w:val="24"/>
          <w:szCs w:val="24"/>
        </w:rPr>
      </w:pPr>
      <w:r>
        <w:rPr>
          <w:rFonts w:cs="Calibri" w:cstheme="minorHAnsi"/>
          <w:sz w:val="24"/>
          <w:szCs w:val="24"/>
        </w:rPr>
        <w:t xml:space="preserve">Ilości zmieszanych odpadów komunalnych, odpadów zielonych odbieranych z terenu gminy oraz powstających z przetwarzania odpadów komunalnych, pozostałości </w:t>
        <w:br/>
        <w:t>z sortowania i pozostałości z mechaniczno - biologicznego przetwarzania odpadów komunalnych przeznaczonych do składowania.</w:t>
      </w:r>
    </w:p>
    <w:p>
      <w:pPr>
        <w:pStyle w:val="Normal"/>
        <w:jc w:val="both"/>
        <w:rPr>
          <w:rFonts w:cs="Calibri" w:cstheme="minorHAnsi"/>
          <w:sz w:val="24"/>
          <w:szCs w:val="24"/>
        </w:rPr>
      </w:pPr>
      <w:r>
        <w:rPr>
          <w:rFonts w:cs="Calibri" w:cstheme="minorHAnsi"/>
          <w:sz w:val="24"/>
          <w:szCs w:val="24"/>
        </w:rPr>
        <w:t xml:space="preserve">Analiza ma dostarczyć niezbędnych informacji dla stworzenia efektywnego systemu gospodarki odpadami komunalnymi i sporządza się ją w terminie do 30 kwietnia za poprzedni rok kalendarzowy. </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cs="Calibri" w:cstheme="minorHAnsi"/>
          <w:b/>
          <w:b/>
          <w:sz w:val="28"/>
          <w:szCs w:val="28"/>
        </w:rPr>
      </w:pPr>
      <w:r>
        <w:rPr>
          <w:rFonts w:cs="Calibri" w:cstheme="minorHAnsi"/>
          <w:b/>
          <w:sz w:val="28"/>
          <w:szCs w:val="28"/>
        </w:rPr>
        <w:t>II SYSTEM GOSPODAROWANIA ODPADAMI NA TERENIE MIASTA I GMINY PELPLIN</w:t>
      </w:r>
    </w:p>
    <w:p>
      <w:pPr>
        <w:pStyle w:val="Normal"/>
        <w:jc w:val="both"/>
        <w:rPr>
          <w:rFonts w:cs="Calibri" w:cstheme="minorHAnsi"/>
          <w:sz w:val="28"/>
          <w:szCs w:val="28"/>
          <w:u w:val="single"/>
        </w:rPr>
      </w:pPr>
      <w:r>
        <w:rPr>
          <w:rFonts w:cs="Calibri" w:cstheme="minorHAnsi"/>
          <w:sz w:val="28"/>
          <w:szCs w:val="28"/>
          <w:u w:val="single"/>
        </w:rPr>
      </w:r>
    </w:p>
    <w:p>
      <w:pPr>
        <w:pStyle w:val="Normal"/>
        <w:jc w:val="both"/>
        <w:rPr>
          <w:rFonts w:cs="Calibri" w:cstheme="minorHAnsi"/>
          <w:b/>
          <w:b/>
          <w:bCs/>
          <w:sz w:val="24"/>
          <w:szCs w:val="24"/>
          <w:u w:val="single"/>
        </w:rPr>
      </w:pPr>
      <w:r>
        <w:rPr>
          <w:rFonts w:cs="Calibri" w:cstheme="minorHAnsi"/>
          <w:b/>
          <w:bCs/>
          <w:sz w:val="24"/>
          <w:szCs w:val="24"/>
          <w:u w:val="single"/>
        </w:rPr>
        <w:t>2.1 INFORMACJE O GMINIE</w:t>
      </w:r>
    </w:p>
    <w:p>
      <w:pPr>
        <w:pStyle w:val="Normal"/>
        <w:jc w:val="both"/>
        <w:rPr>
          <w:rFonts w:cs="Calibri" w:cstheme="minorHAnsi"/>
          <w:sz w:val="24"/>
          <w:szCs w:val="24"/>
        </w:rPr>
      </w:pPr>
      <w:r>
        <w:rPr>
          <w:rFonts w:cs="Calibri" w:cstheme="minorHAnsi"/>
          <w:sz w:val="24"/>
          <w:szCs w:val="24"/>
        </w:rPr>
        <w:t>Miasto i Gmina Pelplin (zwane dalej gminą Pelplin) położone są we wschodniej części województwa pomorskiego, w powiecie tczewskim i są jedną z 6 gmin powiatu. Opisywany teren zajmuje powierzchnię 14102ha (GUS, 2015) i stanowi około 20,2% powiatu tczewskiego i 0,8% województwa pomorskiego.</w:t>
      </w:r>
    </w:p>
    <w:p>
      <w:pPr>
        <w:pStyle w:val="Normal"/>
        <w:jc w:val="both"/>
        <w:rPr>
          <w:rFonts w:cs="Calibri" w:cstheme="minorHAnsi"/>
          <w:sz w:val="24"/>
          <w:szCs w:val="24"/>
        </w:rPr>
      </w:pPr>
      <w:r>
        <w:rPr>
          <w:rFonts w:cs="Calibri" w:cstheme="minorHAnsi"/>
          <w:sz w:val="24"/>
          <w:szCs w:val="24"/>
        </w:rPr>
        <w:t>Gmina Pelplin jako jednostka administracyjna graniczy z następującymi gminami:</w:t>
      </w:r>
    </w:p>
    <w:p>
      <w:pPr>
        <w:pStyle w:val="ListParagraph"/>
        <w:numPr>
          <w:ilvl w:val="0"/>
          <w:numId w:val="4"/>
        </w:numPr>
        <w:jc w:val="both"/>
        <w:rPr>
          <w:rFonts w:cs="Calibri" w:cstheme="minorHAnsi"/>
          <w:sz w:val="24"/>
          <w:szCs w:val="24"/>
        </w:rPr>
      </w:pPr>
      <w:r>
        <w:rPr>
          <w:rFonts w:cs="Calibri" w:cstheme="minorHAnsi"/>
          <w:sz w:val="24"/>
          <w:szCs w:val="24"/>
        </w:rPr>
        <w:t>na północy – z Gminą Subkowy,</w:t>
      </w:r>
    </w:p>
    <w:p>
      <w:pPr>
        <w:pStyle w:val="ListParagraph"/>
        <w:numPr>
          <w:ilvl w:val="0"/>
          <w:numId w:val="4"/>
        </w:numPr>
        <w:jc w:val="both"/>
        <w:rPr>
          <w:rFonts w:cs="Calibri" w:cstheme="minorHAnsi"/>
          <w:sz w:val="24"/>
          <w:szCs w:val="24"/>
        </w:rPr>
      </w:pPr>
      <w:r>
        <w:rPr>
          <w:rFonts w:cs="Calibri" w:cstheme="minorHAnsi"/>
          <w:sz w:val="24"/>
          <w:szCs w:val="24"/>
        </w:rPr>
        <w:t>na południu – z Gminą Morzeszczyn</w:t>
      </w:r>
    </w:p>
    <w:p>
      <w:pPr>
        <w:pStyle w:val="ListParagraph"/>
        <w:numPr>
          <w:ilvl w:val="0"/>
          <w:numId w:val="4"/>
        </w:numPr>
        <w:jc w:val="both"/>
        <w:rPr>
          <w:rFonts w:cs="Calibri" w:cstheme="minorHAnsi"/>
          <w:sz w:val="24"/>
          <w:szCs w:val="24"/>
        </w:rPr>
      </w:pPr>
      <w:r>
        <w:rPr>
          <w:rFonts w:cs="Calibri" w:cstheme="minorHAnsi"/>
          <w:sz w:val="24"/>
          <w:szCs w:val="24"/>
        </w:rPr>
        <w:t>na wschodzie – z Gminami Miłoradz, Sztum, Ryjewo</w:t>
      </w:r>
    </w:p>
    <w:p>
      <w:pPr>
        <w:pStyle w:val="ListParagraph"/>
        <w:numPr>
          <w:ilvl w:val="0"/>
          <w:numId w:val="4"/>
        </w:numPr>
        <w:jc w:val="both"/>
        <w:rPr>
          <w:rFonts w:cs="Calibri" w:cstheme="minorHAnsi"/>
          <w:sz w:val="24"/>
          <w:szCs w:val="24"/>
        </w:rPr>
      </w:pPr>
      <w:r>
        <w:rPr>
          <w:rFonts w:cs="Calibri" w:cstheme="minorHAnsi"/>
          <w:sz w:val="24"/>
          <w:szCs w:val="24"/>
        </w:rPr>
        <w:t>na zachodzie – z Gminami Starogard Gdański i Bobowo.</w:t>
      </w:r>
    </w:p>
    <w:p>
      <w:pPr>
        <w:pStyle w:val="Normal"/>
        <w:jc w:val="both"/>
        <w:rPr>
          <w:rFonts w:cs="Calibri" w:cstheme="minorHAnsi"/>
          <w:sz w:val="24"/>
          <w:szCs w:val="24"/>
        </w:rPr>
      </w:pPr>
      <w:r>
        <w:rPr>
          <w:rFonts w:cs="Calibri" w:cstheme="minorHAnsi"/>
          <w:sz w:val="24"/>
          <w:szCs w:val="24"/>
        </w:rPr>
        <w:t>Gmina Pelplin jest typową gminą miejsko – wiejską położoną na Kociewiu w skład której wchodzi 37 miejscowości, które zostały podzielone na 14 sołectw oraz miasto Pelplin. Sołectwa znajdujące się na terenie Gminy Pelplin to: Sieć osadniczą tworzy 14 sołectw: Bielawki, Gręblin, Janiszewko, Janiszewo, Kulice, Lignowy Szlacheckie, Małe Walichnowy, Międzyłęż, Pomyje, Rajkowy, Ropuchy, Rożental, Rudno, Wielki Garc oraz Miasto Pelplin.</w:t>
      </w:r>
    </w:p>
    <w:p>
      <w:pPr>
        <w:pStyle w:val="Normal"/>
        <w:jc w:val="both"/>
        <w:rPr>
          <w:rFonts w:cs="Calibri" w:cstheme="minorHAnsi"/>
          <w:sz w:val="24"/>
          <w:szCs w:val="24"/>
        </w:rPr>
      </w:pPr>
      <w:r>
        <w:rPr>
          <w:rFonts w:cs="Calibri" w:cstheme="minorHAnsi"/>
          <w:sz w:val="24"/>
          <w:szCs w:val="24"/>
        </w:rPr>
        <w:t xml:space="preserve">Przez teren analizowanego obszaru przechodzą następujące drogi: autostrada A1 przebiegająca południkowo, w zachodniej części gminy, droga krajowa nr 91, drogi wojewódzkie o numerach: 230 Wielgłowy –Brzuśce –Pelplin –Cierzpice, 229 Rudno –Pelplin –Jabłowo, 225 -dojazd do PKP Pelplin, drogi powiatowe –11 odcinków oraz drogi gminne–61 odcinków. </w:t>
      </w:r>
    </w:p>
    <w:p>
      <w:pPr>
        <w:pStyle w:val="Normal"/>
        <w:jc w:val="both"/>
        <w:rPr>
          <w:rFonts w:cs="Calibri" w:cstheme="minorHAnsi"/>
          <w:sz w:val="24"/>
          <w:szCs w:val="24"/>
        </w:rPr>
      </w:pPr>
      <w:r>
        <w:rPr>
          <w:rFonts w:cs="Calibri" w:cstheme="minorHAnsi"/>
          <w:sz w:val="24"/>
          <w:szCs w:val="24"/>
        </w:rPr>
        <w:t>Gmina Pelplin to typowe tereny rolnicze. Charakteryzuje się ona jednym z najniższych wskaźników zalesienia: na tle powiatu tczewskiego jest to 14,6 % województwa pomorskiego 36,4 %, zaś kraju 29,6%. Tereny leśne zlokalizowane na terenie Gminy Pelplin należą instytucjonalnie do Nadleśnictwa Starogard Gd., które z kolei podlegają  Regionalnej Dyrekcji Lasów Państwowych. Łącznie na terenie Gminy Pelplin znajduje się 1.440,57 ha lasów, z czego zdecydowana większość to lasy publiczne należące do skarbu Państwa, lasy prywatne stanowią 179,42 ha, zaś gminne 6,90 ha. W gminie występują indywidualne i obszarowe formy ochrony przyrody. Ponadto przez jej teren przebiegają korytarze ekologiczne, które pozwalają na przemieszczanie się roślin, zwierząt lub grzybów. Stąd też cechują się sporą różnorodnością gatunkową, krajobrazową i siedliskową oraz są istotnymi ostojami dla gatunków rodzinnych i wędrownych, szczególnie tych rzadkich i zagrożonych wyginięciem. Do korytarzy o znaczeniu ponadregionalnym należy korytarz Doliny Wisły, natomiast o znaczeniu regionalnym – Dolina Wierzycy. Ochroną indywidualną objętych jest także 16 pomników przyrody.</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cs="Calibri" w:cstheme="minorHAnsi"/>
          <w:b/>
          <w:b/>
          <w:bCs/>
          <w:sz w:val="24"/>
          <w:szCs w:val="24"/>
          <w:u w:val="single"/>
        </w:rPr>
      </w:pPr>
      <w:r>
        <w:rPr>
          <w:rFonts w:cs="Calibri" w:cstheme="minorHAnsi"/>
          <w:b/>
          <w:bCs/>
          <w:sz w:val="24"/>
          <w:szCs w:val="24"/>
          <w:u w:val="single"/>
        </w:rPr>
      </w:r>
    </w:p>
    <w:p>
      <w:pPr>
        <w:pStyle w:val="Normal"/>
        <w:jc w:val="both"/>
        <w:rPr>
          <w:rFonts w:cs="Calibri" w:cstheme="minorHAnsi"/>
          <w:b/>
          <w:b/>
          <w:bCs/>
          <w:sz w:val="24"/>
          <w:szCs w:val="24"/>
          <w:u w:val="single"/>
        </w:rPr>
      </w:pPr>
      <w:r>
        <w:rPr>
          <w:rFonts w:cs="Calibri" w:cstheme="minorHAnsi"/>
          <w:b/>
          <w:bCs/>
          <w:sz w:val="24"/>
          <w:szCs w:val="24"/>
          <w:u w:val="single"/>
        </w:rPr>
        <w:t>2.2 OGÓLNA CHARAKTERYSTYKA SYSTEMU.</w:t>
      </w:r>
    </w:p>
    <w:p>
      <w:pPr>
        <w:pStyle w:val="Normal"/>
        <w:jc w:val="both"/>
        <w:rPr>
          <w:rFonts w:ascii="Calibri" w:hAnsi="Calibri" w:cs="Calibri"/>
          <w:sz w:val="24"/>
          <w:szCs w:val="24"/>
        </w:rPr>
      </w:pPr>
      <w:r>
        <w:rPr>
          <w:rFonts w:cs="Calibri" w:cstheme="minorHAnsi"/>
          <w:sz w:val="24"/>
          <w:szCs w:val="24"/>
        </w:rPr>
        <w:t>Zgodnie z obowiązującym w Polsce systemem gospodarowania odpadami komunalnymi wszystkie gminy zobligowane są do odbioru i zagospodarowania odpadów komunalnych od</w:t>
      </w:r>
      <w:r>
        <w:rPr>
          <w:rFonts w:cs="Times New Roman" w:ascii="Times New Roman" w:hAnsi="Times New Roman"/>
          <w:sz w:val="24"/>
          <w:szCs w:val="24"/>
        </w:rPr>
        <w:t xml:space="preserve"> </w:t>
      </w:r>
      <w:r>
        <w:rPr>
          <w:rFonts w:cs="Calibri"/>
          <w:sz w:val="24"/>
          <w:szCs w:val="24"/>
        </w:rPr>
        <w:t xml:space="preserve">nieruchomości znajdujących się na terenie danej gminy. Nakłada to na gminy obowiązek przeprowadzenia przetargu w celu wyłonienia firmy, której zadaniem będzie odbiór </w:t>
        <w:br/>
        <w:t>i zagospodarowanie odpadów komunalnych z nieruchomości zamieszkałych i niezamieszkałych, na których powstają odpady komunalne.</w:t>
      </w:r>
    </w:p>
    <w:p>
      <w:pPr>
        <w:pStyle w:val="Normal"/>
        <w:jc w:val="both"/>
        <w:rPr>
          <w:rFonts w:ascii="Calibri" w:hAnsi="Calibri" w:cs="Calibri"/>
          <w:sz w:val="24"/>
          <w:szCs w:val="24"/>
        </w:rPr>
      </w:pPr>
      <w:r>
        <w:rPr>
          <w:rFonts w:cs="Calibri"/>
          <w:sz w:val="24"/>
          <w:szCs w:val="24"/>
        </w:rPr>
        <w:t>Dnia 1 lipca 2023 r. w Gminie Pelplin zmienił się podmiot odbierający odpady z nieruchomości, które zamieszkują mieszkańcy. W konsekwencji postępowania, które zostało przeprowadzone na podstawie art.  217 ust. 1 pkt 13 ustawy PZP, tzw. in-house 29 czerwca 2023 roku, Gmina Pelplin wraz z Gminą Starogard Gd. Podpisały umowy z Czystym Kociewiem Sp. z o.o. Spółka ma siedzibę w Pelplinie. Umowa została zawarta na czas od 1 lipca 2023 roku do 30 czerwca 2027 roku.</w:t>
      </w:r>
    </w:p>
    <w:p>
      <w:pPr>
        <w:pStyle w:val="Normal"/>
        <w:jc w:val="both"/>
        <w:rPr>
          <w:rFonts w:ascii="Calibri" w:hAnsi="Calibri" w:cs="Calibri"/>
          <w:sz w:val="24"/>
          <w:szCs w:val="24"/>
        </w:rPr>
      </w:pPr>
      <w:r>
        <w:rPr>
          <w:rFonts w:cs="Calibri"/>
          <w:sz w:val="24"/>
          <w:szCs w:val="24"/>
        </w:rPr>
        <w:t xml:space="preserve">Łącznie orientacyjne wynagrodzenie Wykonawcy, w okresie umowy, ustalone w oparciu o przewidywaną ilość odebranych odpadów z każdej frakcji (wartość wraz z podatkiem Vat) wynosi </w:t>
      </w:r>
      <w:r>
        <w:rPr>
          <w:rFonts w:cs="Calibri"/>
          <w:b/>
          <w:bCs/>
          <w:sz w:val="24"/>
          <w:szCs w:val="24"/>
        </w:rPr>
        <w:t>8 558 881,92 zł.</w:t>
      </w:r>
    </w:p>
    <w:p>
      <w:pPr>
        <w:pStyle w:val="Normal"/>
        <w:spacing w:lineRule="auto" w:line="271"/>
        <w:jc w:val="both"/>
        <w:rPr>
          <w:rFonts w:ascii="Times New Roman" w:hAnsi="Times New Roman" w:eastAsia="Ebrima" w:cs="Times New Roman"/>
          <w:color w:val="000000" w:themeColor="text1"/>
          <w:sz w:val="24"/>
          <w:szCs w:val="24"/>
        </w:rPr>
      </w:pPr>
      <w:r>
        <w:rPr>
          <w:rFonts w:eastAsia="Ebrima" w:cs="Times New Roman" w:ascii="Times New Roman" w:hAnsi="Times New Roman"/>
          <w:color w:val="000000" w:themeColor="text1"/>
          <w:sz w:val="24"/>
          <w:szCs w:val="24"/>
        </w:rPr>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Frakcje odpadów komunalnych o kodzie 15 01 04 – opakowania z metali były w roku 2024 zbierane także przez Przedsiębiorstwo Wielobranżowe DM Mikołaj Dahlke z Pelplina. Firma ta nie jest wpisana do rejestru działalności regulowanej w zakresie odbioru odpadów komunalnych od właścicieli nieruchomości z terenu Miasta i gminy Pelplin, gdyż nie jest podmiotem odbierającym odpady a jedynie podmiotem zbierającym odpady.</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W gminie Pelplin w 2024 r. odpady komunalne były zbierane z podziałem na sześć frakcji: odpady zmieszane, szkło, papier, plastik, bio i popiół. Od mieszkańców odbierana była każda ilość odpadów.</w:t>
      </w:r>
    </w:p>
    <w:p>
      <w:pPr>
        <w:pStyle w:val="Normal"/>
        <w:spacing w:lineRule="auto" w:line="271"/>
        <w:jc w:val="both"/>
        <w:rPr>
          <w:rFonts w:eastAsia="Ebrima" w:cs="Calibri" w:cstheme="minorHAnsi"/>
          <w:sz w:val="24"/>
          <w:szCs w:val="24"/>
        </w:rPr>
      </w:pPr>
      <w:r>
        <w:rPr>
          <w:rFonts w:eastAsia="Ebrima" w:cs="Calibri" w:cstheme="minorHAnsi"/>
          <w:color w:val="000000" w:themeColor="text1"/>
          <w:sz w:val="24"/>
          <w:szCs w:val="24"/>
        </w:rPr>
        <w:t xml:space="preserve">Poza tym dodatkowo makulaturę, plastik, szkło można było pozostawić w każdych ilościach </w:t>
        <w:br/>
        <w:t>w gniazdach segregacyjnych znajdujących się na terenie gminy.</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 xml:space="preserve">Odpady w postaci przeterminowanych i niepotrzebnych leków mieszkańcy gminy mogli przekazywać do pelplińskich aptek oraz PSZOK-u, natomiast baterie były zbierane </w:t>
        <w:br/>
        <w:t>w oznakowanych pojemnikach, rozmieszczonych w szkołach i przedszkolach na terenie gminy.</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 xml:space="preserve">Ponadto raz w roku na wiosnę w marcu była zorganizowana objazdowa zbiórka odpadów, tzw. „Wystawiamy graty z chaty", podczas której odbierano: odpady wielkogabarytowe, zużyty sprzęt elektryczny i elektroniczny. Dla kolejnych rejonów były to dni </w:t>
      </w:r>
      <w:r>
        <w:rPr>
          <w:rFonts w:eastAsia="Ebrima" w:cs="Calibri" w:cstheme="minorHAnsi"/>
          <w:sz w:val="24"/>
          <w:szCs w:val="24"/>
        </w:rPr>
        <w:t xml:space="preserve">od 11 marca do 15 marca </w:t>
      </w:r>
      <w:r>
        <w:rPr>
          <w:rFonts w:eastAsia="Ebrima" w:cs="Calibri" w:cstheme="minorHAnsi"/>
          <w:color w:val="000000" w:themeColor="text1"/>
          <w:sz w:val="24"/>
          <w:szCs w:val="24"/>
        </w:rPr>
        <w:t xml:space="preserve">2024 r. </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Gmina Pelplin wyposażyła nieruchomości  w zestawy nowych pojemników do selektywnej zbiórki odpadów komunalnych – pojemnik na odpady resztkowe, tworzywa sztuczne i metale, szkło, papier, bio i popiół.</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Odpady w gminie Pelplin odbierane są na podstawie harmonogramu odbioru odpadów przygotowywanego co roku. Na obszarze gminy w roku 2024 nadal funkcjonuje pięć rejonów, różniących się terminami i częstotliwością odbioru odpadów:</w:t>
      </w:r>
    </w:p>
    <w:p>
      <w:pPr>
        <w:pStyle w:val="Normal"/>
        <w:spacing w:lineRule="auto" w:line="271"/>
        <w:jc w:val="both"/>
        <w:rPr>
          <w:rFonts w:eastAsia="Ebrima" w:cs="Calibri" w:cstheme="minorHAnsi"/>
          <w:b/>
          <w:b/>
          <w:bCs/>
          <w:color w:val="FF0000"/>
          <w:sz w:val="24"/>
          <w:szCs w:val="24"/>
        </w:rPr>
      </w:pPr>
      <w:r>
        <w:rPr>
          <w:rFonts w:eastAsia="Ebrima" w:cs="Calibri" w:cstheme="minorHAnsi"/>
          <w:b/>
          <w:color w:val="000000" w:themeColor="text1"/>
          <w:sz w:val="24"/>
          <w:szCs w:val="24"/>
        </w:rPr>
        <w:t>Rejon I</w:t>
      </w:r>
      <w:r>
        <w:rPr>
          <w:rFonts w:eastAsia="Ebrima" w:cs="Calibri" w:cstheme="minorHAnsi"/>
          <w:color w:val="000000" w:themeColor="text1"/>
          <w:sz w:val="24"/>
          <w:szCs w:val="24"/>
        </w:rPr>
        <w:t xml:space="preserve"> obejmował: Pelplin – ulice: </w:t>
      </w:r>
      <w:r>
        <w:rPr>
          <w:rFonts w:eastAsia="Ebrima" w:cs="Calibri" w:cstheme="minorHAnsi"/>
          <w:sz w:val="24"/>
          <w:szCs w:val="24"/>
        </w:rPr>
        <w:t>Cukrowników Pelplińskich, Dworcowa, Kopernika, Kościuszki, Limanowskiego, Mickiewicza, Osiedle Młodych, Plac Grunwaldzki, Plac Cukrowni, Plac Wolności, Pólko, Starogardzka, Szpitalna, Wybickiego, Świerkowa, Sambora, Klonowa, Szkolna, Strzelnica, Pogodna, Księdza Tadeusza Borcza, Wesoła, Poprzeczna, ul. Wybudowanie</w:t>
      </w:r>
      <w:r>
        <w:rPr>
          <w:rFonts w:eastAsia="Ebrima" w:cs="Calibri" w:cstheme="minorHAnsi"/>
          <w:color w:val="000000" w:themeColor="text1"/>
          <w:sz w:val="24"/>
          <w:szCs w:val="24"/>
        </w:rPr>
        <w:t xml:space="preserve">. </w:t>
      </w:r>
    </w:p>
    <w:p>
      <w:pPr>
        <w:pStyle w:val="Normal"/>
        <w:jc w:val="both"/>
        <w:rPr>
          <w:rFonts w:cs="Calibri" w:cstheme="minorHAnsi"/>
          <w:sz w:val="24"/>
          <w:szCs w:val="24"/>
        </w:rPr>
      </w:pPr>
      <w:r>
        <w:rPr>
          <w:rFonts w:cs="Calibri" w:cstheme="minorHAnsi"/>
          <w:b/>
          <w:sz w:val="24"/>
          <w:szCs w:val="24"/>
        </w:rPr>
        <w:t>Rejon II</w:t>
      </w:r>
      <w:r>
        <w:rPr>
          <w:rFonts w:cs="Calibri" w:cstheme="minorHAnsi"/>
          <w:sz w:val="24"/>
          <w:szCs w:val="24"/>
        </w:rPr>
        <w:t xml:space="preserve"> obejmował: Pelplin – ulice:</w:t>
      </w:r>
      <w:r>
        <w:rPr>
          <w:rFonts w:cs="Calibri" w:cstheme="minorHAnsi"/>
          <w:color w:val="ED0000"/>
          <w:sz w:val="24"/>
          <w:szCs w:val="24"/>
        </w:rPr>
        <w:t xml:space="preserve"> </w:t>
      </w:r>
      <w:r>
        <w:rPr>
          <w:rFonts w:cs="Calibri" w:cstheme="minorHAnsi"/>
          <w:sz w:val="24"/>
          <w:szCs w:val="24"/>
        </w:rPr>
        <w:t>Czarnieckiego, Biskupa Dominika, Mestwina, Księdza Pasierba, Podgórna, Przystań Jana Sobieskiego, Wigury, Żwirki, Aleja Cystersów, Asnyka, Broniewskiego, Dąbrowskiego, Dmowskiego, Hallera, Iwaszkiewicza, Konopnickiej, Kraszewskiego, Kochanowskiego,  Księdza Sychty, Księdza Twardowskiego, Maczka, Parkowa, Plac Mariacki, Plac Tumski, Piłsudskiego, Sportowa, Prusa, Reja, Sienkiewicza, Słowackiego, Żeromskiego; ROŻENTAL – ulice: Kościuszki do numeru 93, Sikorskiego, Wiosenna, Brzozowa, Topolowa, Sosnkowskiego, Księdza Sawickiego, Księdza Liedtke, Bursztynowa, Szafirowa, Rubinowa, Kwiatowa, Różana, Bielawska, Dębowa, Diamentowa, Klonowa, Księdza Pasierba, Lipowa, Łąkowa, Ogrodowa, Okoniewskiego, Słoneczna, Świerkowa, Letnia, Zimowa, Wrzosowa, Klonowa</w:t>
      </w:r>
    </w:p>
    <w:p>
      <w:pPr>
        <w:pStyle w:val="Normal"/>
        <w:jc w:val="both"/>
        <w:rPr>
          <w:rFonts w:cs="Calibri" w:cstheme="minorHAnsi"/>
          <w:sz w:val="24"/>
          <w:szCs w:val="24"/>
        </w:rPr>
      </w:pPr>
      <w:r>
        <w:rPr>
          <w:rFonts w:cs="Calibri" w:cstheme="minorHAnsi"/>
          <w:b/>
          <w:sz w:val="24"/>
          <w:szCs w:val="24"/>
        </w:rPr>
        <w:t>Rejon III</w:t>
      </w:r>
      <w:r>
        <w:rPr>
          <w:rFonts w:cs="Calibri" w:cstheme="minorHAnsi"/>
          <w:sz w:val="24"/>
          <w:szCs w:val="24"/>
        </w:rPr>
        <w:t xml:space="preserve"> obejmował miejscowości: Janiszewko, Janiszewo, Stocki Młyn, Kulice, Rożental, Pomyje, Wola, Wybudowanie.</w:t>
      </w:r>
    </w:p>
    <w:p>
      <w:pPr>
        <w:pStyle w:val="Normal"/>
        <w:jc w:val="both"/>
        <w:rPr>
          <w:rFonts w:cs="Calibri" w:cstheme="minorHAnsi"/>
          <w:color w:val="ED0000"/>
          <w:sz w:val="24"/>
          <w:szCs w:val="24"/>
        </w:rPr>
      </w:pPr>
      <w:r>
        <w:rPr>
          <w:rFonts w:cs="Calibri" w:cstheme="minorHAnsi"/>
          <w:b/>
          <w:sz w:val="24"/>
          <w:szCs w:val="24"/>
        </w:rPr>
        <w:t>Rejon IV</w:t>
      </w:r>
      <w:r>
        <w:rPr>
          <w:rFonts w:cs="Calibri" w:cstheme="minorHAnsi"/>
          <w:sz w:val="24"/>
          <w:szCs w:val="24"/>
        </w:rPr>
        <w:t xml:space="preserve"> obejmował miejscowości: Bielawki, Rombark, Ropuchy, Nowy Dwór, Nadleśnictwo, Rajkowy; </w:t>
      </w:r>
    </w:p>
    <w:p>
      <w:pPr>
        <w:pStyle w:val="Normal"/>
        <w:jc w:val="both"/>
        <w:rPr>
          <w:rFonts w:cs="Calibri" w:cstheme="minorHAnsi"/>
          <w:sz w:val="24"/>
          <w:szCs w:val="24"/>
        </w:rPr>
      </w:pPr>
      <w:r>
        <w:rPr>
          <w:rFonts w:cs="Calibri" w:cstheme="minorHAnsi"/>
          <w:b/>
          <w:sz w:val="24"/>
          <w:szCs w:val="24"/>
        </w:rPr>
        <w:t>Rejon V</w:t>
      </w:r>
      <w:r>
        <w:rPr>
          <w:rFonts w:cs="Calibri" w:cstheme="minorHAnsi"/>
          <w:sz w:val="24"/>
          <w:szCs w:val="24"/>
        </w:rPr>
        <w:t xml:space="preserve"> obejmował miejscowości: Lignowy Szlacheckie, Międzyłęż, Wielki Garc, Małe Walichnowy, Rudno, Gręblin.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cs="Calibri" w:cstheme="minorHAnsi"/>
          <w:sz w:val="24"/>
          <w:szCs w:val="24"/>
        </w:rPr>
      </w:pPr>
      <w:r>
        <w:rPr>
          <w:rFonts w:cs="Calibri" w:cstheme="minorHAnsi"/>
          <w:sz w:val="24"/>
          <w:szCs w:val="24"/>
        </w:rPr>
        <w:t>We wszystkich rejonach odpady odbierane są z częstotliwością:</w:t>
      </w:r>
    </w:p>
    <w:p>
      <w:pPr>
        <w:pStyle w:val="ListParagraph"/>
        <w:numPr>
          <w:ilvl w:val="0"/>
          <w:numId w:val="5"/>
        </w:numPr>
        <w:jc w:val="both"/>
        <w:rPr>
          <w:rFonts w:cs="Calibri" w:cstheme="minorHAnsi"/>
          <w:sz w:val="24"/>
          <w:szCs w:val="24"/>
        </w:rPr>
      </w:pPr>
      <w:r>
        <w:rPr>
          <w:rFonts w:cs="Calibri" w:cstheme="minorHAnsi"/>
          <w:sz w:val="24"/>
          <w:szCs w:val="24"/>
        </w:rPr>
        <w:t>Resztkowe odpady komunalne – raz na tydzień w nieruchomościach wielorodzinnych oraz raz na dwa tygodnie w nieruchomościach jednorodzinnych;</w:t>
      </w:r>
    </w:p>
    <w:p>
      <w:pPr>
        <w:pStyle w:val="ListParagraph"/>
        <w:numPr>
          <w:ilvl w:val="0"/>
          <w:numId w:val="5"/>
        </w:numPr>
        <w:jc w:val="both"/>
        <w:rPr>
          <w:rFonts w:cs="Calibri" w:cstheme="minorHAnsi"/>
          <w:sz w:val="24"/>
          <w:szCs w:val="24"/>
        </w:rPr>
      </w:pPr>
      <w:r>
        <w:rPr>
          <w:rFonts w:cs="Calibri" w:cstheme="minorHAnsi"/>
          <w:sz w:val="24"/>
          <w:szCs w:val="24"/>
        </w:rPr>
        <w:t>Metale i tworzywa sztuczne – raz na dwa tygodnie;</w:t>
      </w:r>
    </w:p>
    <w:p>
      <w:pPr>
        <w:pStyle w:val="ListParagraph"/>
        <w:numPr>
          <w:ilvl w:val="0"/>
          <w:numId w:val="5"/>
        </w:numPr>
        <w:jc w:val="both"/>
        <w:rPr>
          <w:rFonts w:cs="Calibri" w:cstheme="minorHAnsi"/>
          <w:sz w:val="24"/>
          <w:szCs w:val="24"/>
        </w:rPr>
      </w:pPr>
      <w:r>
        <w:rPr>
          <w:rFonts w:cs="Calibri" w:cstheme="minorHAnsi"/>
          <w:sz w:val="24"/>
          <w:szCs w:val="24"/>
        </w:rPr>
        <w:t>Szkło – raz na dwa miesiące;</w:t>
      </w:r>
    </w:p>
    <w:p>
      <w:pPr>
        <w:pStyle w:val="ListParagraph"/>
        <w:numPr>
          <w:ilvl w:val="0"/>
          <w:numId w:val="5"/>
        </w:numPr>
        <w:jc w:val="both"/>
        <w:rPr>
          <w:rFonts w:cs="Calibri" w:cstheme="minorHAnsi"/>
          <w:sz w:val="24"/>
          <w:szCs w:val="24"/>
        </w:rPr>
      </w:pPr>
      <w:r>
        <w:rPr>
          <w:rFonts w:cs="Calibri" w:cstheme="minorHAnsi"/>
          <w:sz w:val="24"/>
          <w:szCs w:val="24"/>
        </w:rPr>
        <w:t xml:space="preserve">Popiół – w miesiącach zimowych (I,II,III,X,XI,XII) – dwa razy w miesiącu, zaś </w:t>
        <w:br/>
        <w:t>w miesiącach letnich (IV,V,VI,VII,VIII,IX) – raz w miesiącu;</w:t>
      </w:r>
    </w:p>
    <w:p>
      <w:pPr>
        <w:pStyle w:val="ListParagraph"/>
        <w:numPr>
          <w:ilvl w:val="0"/>
          <w:numId w:val="5"/>
        </w:numPr>
        <w:jc w:val="both"/>
        <w:rPr>
          <w:rFonts w:cs="Calibri" w:cstheme="minorHAnsi"/>
          <w:sz w:val="24"/>
          <w:szCs w:val="24"/>
        </w:rPr>
      </w:pPr>
      <w:r>
        <w:rPr>
          <w:rFonts w:cs="Calibri" w:cstheme="minorHAnsi"/>
          <w:sz w:val="24"/>
          <w:szCs w:val="24"/>
        </w:rPr>
        <w:t>Papier – na terenach miejskich osiem razy w roku w nieruchomościach wielorodzinnych oraz sześć razy w roku w nieruchomościach jednorodzinnych. Na terenach wiejskich cztery razy w roku;</w:t>
      </w:r>
    </w:p>
    <w:p>
      <w:pPr>
        <w:pStyle w:val="ListParagraph"/>
        <w:numPr>
          <w:ilvl w:val="0"/>
          <w:numId w:val="5"/>
        </w:numPr>
        <w:jc w:val="both"/>
        <w:rPr>
          <w:rFonts w:cs="Calibri" w:cstheme="minorHAnsi"/>
          <w:sz w:val="24"/>
          <w:szCs w:val="24"/>
        </w:rPr>
      </w:pPr>
      <w:r>
        <w:rPr>
          <w:rFonts w:cs="Calibri" w:cstheme="minorHAnsi"/>
          <w:sz w:val="24"/>
          <w:szCs w:val="24"/>
        </w:rPr>
        <w:t xml:space="preserve">Bioodpady – na terenach miejskich w miesiącach zimowych (I,II,III,XII) – raz w miesiącu w nieruchomościach wielorodzinnych i jednorodzinnych, zaś w pozostałych miesiącach (IV,V,VI,VII,VIII,IX,X,XI) – raz na tydzień w nieruchomościach wielorodzinnych i raz na dwa tygodnie w nieruchomościach jednorodzinnych. </w:t>
      </w:r>
    </w:p>
    <w:p>
      <w:pPr>
        <w:pStyle w:val="Normal"/>
        <w:jc w:val="both"/>
        <w:rPr>
          <w:rFonts w:cs="Calibri" w:cstheme="minorHAnsi"/>
          <w:sz w:val="24"/>
          <w:szCs w:val="24"/>
        </w:rPr>
      </w:pPr>
      <w:r>
        <w:rPr>
          <w:rFonts w:cs="Calibri" w:cstheme="minorHAnsi"/>
          <w:sz w:val="24"/>
          <w:szCs w:val="24"/>
        </w:rPr>
        <w:t>Na terenach wiejskich odpady biodegradowalne odbierane są raz w miesiącu.</w:t>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t xml:space="preserve">Opłata za gospodarowanie odpadami komunalnymi w gminie Pelplin od początku wprowadzenia systemu była naliczana od liczby mieszkańców, zamieszkujących daną nieruchomość. Stanowiła ona iloczyn sumy mieszkańców zamieszkujących nieruchomość oraz określonej stawki opłaty. Właściciele nieruchomości, na których nie zamieszkują mieszkańcy, a na których powstają odpady komunalne, są zobowiązani zawrzeć indywidualną umowę na odbiór odpadów komunalnych z przedsiębiorcą wpisanym do rejestru działalności regulowanej. </w:t>
      </w:r>
    </w:p>
    <w:p>
      <w:pPr>
        <w:pStyle w:val="Normal"/>
        <w:jc w:val="both"/>
        <w:rPr>
          <w:color w:val="000000"/>
        </w:rPr>
      </w:pPr>
      <w:r>
        <w:rPr>
          <w:rFonts w:cs="Calibri" w:cstheme="minorHAnsi"/>
          <w:color w:val="000000"/>
          <w:sz w:val="24"/>
          <w:szCs w:val="24"/>
        </w:rPr>
        <w:t xml:space="preserve">Na terenie gminy Pelplin w 2024 roku do powyższego rejestru wpisane były firmy: </w:t>
      </w:r>
    </w:p>
    <w:p>
      <w:pPr>
        <w:pStyle w:val="ListParagraph"/>
        <w:numPr>
          <w:ilvl w:val="0"/>
          <w:numId w:val="6"/>
        </w:numPr>
        <w:jc w:val="both"/>
        <w:rPr>
          <w:rFonts w:cs="Calibri" w:cstheme="minorHAnsi"/>
          <w:sz w:val="24"/>
          <w:szCs w:val="24"/>
        </w:rPr>
      </w:pPr>
      <w:r>
        <w:rPr>
          <w:rFonts w:cs="Calibri" w:cstheme="minorHAnsi"/>
          <w:sz w:val="24"/>
          <w:szCs w:val="24"/>
        </w:rPr>
        <w:t xml:space="preserve">Przedsiębiorstwo Usług Komunalnych „STARKOM” Sp. z o.o. z siedzibą w Starogardzie Gdańskim, </w:t>
      </w:r>
    </w:p>
    <w:p>
      <w:pPr>
        <w:pStyle w:val="ListParagraph"/>
        <w:numPr>
          <w:ilvl w:val="0"/>
          <w:numId w:val="6"/>
        </w:numPr>
        <w:jc w:val="both"/>
        <w:rPr>
          <w:rFonts w:cs="Calibri" w:cstheme="minorHAnsi"/>
          <w:sz w:val="24"/>
          <w:szCs w:val="24"/>
        </w:rPr>
      </w:pPr>
      <w:r>
        <w:rPr>
          <w:rFonts w:cs="Calibri" w:cstheme="minorHAnsi"/>
          <w:sz w:val="24"/>
          <w:szCs w:val="24"/>
        </w:rPr>
        <w:t>„</w:t>
      </w:r>
      <w:r>
        <w:rPr>
          <w:rFonts w:cs="Calibri" w:cstheme="minorHAnsi"/>
          <w:sz w:val="24"/>
          <w:szCs w:val="24"/>
        </w:rPr>
        <w:t xml:space="preserve">COMPLEX” Przedsiębiorstwo Usług Komunalnych Tomasz Grzmil z siedzibą </w:t>
        <w:br/>
        <w:t xml:space="preserve">w Nowym Stawie, </w:t>
      </w:r>
    </w:p>
    <w:p>
      <w:pPr>
        <w:pStyle w:val="ListParagraph"/>
        <w:numPr>
          <w:ilvl w:val="0"/>
          <w:numId w:val="6"/>
        </w:numPr>
        <w:jc w:val="both"/>
        <w:rPr>
          <w:rFonts w:cs="Calibri" w:cstheme="minorHAnsi"/>
          <w:sz w:val="24"/>
          <w:szCs w:val="24"/>
        </w:rPr>
      </w:pPr>
      <w:r>
        <w:rPr>
          <w:rFonts w:cs="Calibri" w:cstheme="minorHAnsi"/>
          <w:sz w:val="24"/>
          <w:szCs w:val="24"/>
        </w:rPr>
        <w:t xml:space="preserve">Przedsiębiorstwo Usług Sanitarnych PUS Sp. z o.o. z siedzibą w Kwidzynie, </w:t>
      </w:r>
    </w:p>
    <w:p>
      <w:pPr>
        <w:pStyle w:val="ListParagraph"/>
        <w:numPr>
          <w:ilvl w:val="0"/>
          <w:numId w:val="6"/>
        </w:numPr>
        <w:jc w:val="both"/>
        <w:rPr>
          <w:rFonts w:cs="Calibri" w:cstheme="minorHAnsi"/>
          <w:sz w:val="24"/>
          <w:szCs w:val="24"/>
        </w:rPr>
      </w:pPr>
      <w:r>
        <w:rPr>
          <w:rFonts w:cs="Calibri" w:cstheme="minorHAnsi"/>
          <w:sz w:val="24"/>
          <w:szCs w:val="24"/>
        </w:rPr>
        <w:t xml:space="preserve">Pelkom Sp. z o.o. z siedzibą w Pelplinie, </w:t>
      </w:r>
    </w:p>
    <w:p>
      <w:pPr>
        <w:pStyle w:val="ListParagraph"/>
        <w:numPr>
          <w:ilvl w:val="0"/>
          <w:numId w:val="6"/>
        </w:numPr>
        <w:jc w:val="both"/>
        <w:rPr>
          <w:rFonts w:cs="Calibri" w:cstheme="minorHAnsi"/>
          <w:sz w:val="24"/>
          <w:szCs w:val="24"/>
        </w:rPr>
      </w:pPr>
      <w:r>
        <w:rPr>
          <w:rFonts w:cs="Calibri" w:cstheme="minorHAnsi"/>
          <w:sz w:val="24"/>
          <w:szCs w:val="24"/>
        </w:rPr>
        <w:t xml:space="preserve">Pre – Zero Service Sp. z o.o. z siedzibą w Gdańsku, </w:t>
      </w:r>
    </w:p>
    <w:p>
      <w:pPr>
        <w:pStyle w:val="ListParagraph"/>
        <w:numPr>
          <w:ilvl w:val="0"/>
          <w:numId w:val="6"/>
        </w:numPr>
        <w:jc w:val="both"/>
        <w:rPr>
          <w:rFonts w:cs="Calibri" w:cstheme="minorHAnsi"/>
          <w:sz w:val="24"/>
          <w:szCs w:val="24"/>
        </w:rPr>
      </w:pPr>
      <w:r>
        <w:rPr>
          <w:rFonts w:cs="Calibri" w:cstheme="minorHAnsi"/>
          <w:sz w:val="24"/>
          <w:szCs w:val="24"/>
        </w:rPr>
        <w:t xml:space="preserve">PAM Aniela Pawłuszek z siedzibą w Tczewie, </w:t>
      </w:r>
    </w:p>
    <w:p>
      <w:pPr>
        <w:pStyle w:val="ListParagraph"/>
        <w:numPr>
          <w:ilvl w:val="0"/>
          <w:numId w:val="6"/>
        </w:numPr>
        <w:jc w:val="both"/>
        <w:rPr>
          <w:rFonts w:cs="Calibri" w:cstheme="minorHAnsi"/>
          <w:sz w:val="24"/>
          <w:szCs w:val="24"/>
        </w:rPr>
      </w:pPr>
      <w:r>
        <w:rPr>
          <w:rFonts w:cs="Calibri" w:cstheme="minorHAnsi"/>
          <w:sz w:val="24"/>
          <w:szCs w:val="24"/>
        </w:rPr>
        <w:t xml:space="preserve">Przedsiębiorstwo Usługowe Clean-Bud Sp. J. Jarosław Romanowski, Hanna Romanowska z siedzibą w Gdyni, </w:t>
      </w:r>
    </w:p>
    <w:p>
      <w:pPr>
        <w:pStyle w:val="ListParagraph"/>
        <w:numPr>
          <w:ilvl w:val="0"/>
          <w:numId w:val="6"/>
        </w:numPr>
        <w:jc w:val="both"/>
        <w:rPr>
          <w:rFonts w:cs="Calibri" w:cstheme="minorHAnsi"/>
          <w:sz w:val="24"/>
          <w:szCs w:val="24"/>
        </w:rPr>
      </w:pPr>
      <w:r>
        <w:rPr>
          <w:rFonts w:cs="Calibri" w:cstheme="minorHAnsi"/>
          <w:sz w:val="24"/>
          <w:szCs w:val="24"/>
        </w:rPr>
        <w:t>Gminne Przedsiębiorstwo Komunalne Sp. z o.o. z siedzibą w Skarszewach.</w:t>
      </w:r>
    </w:p>
    <w:p>
      <w:pPr>
        <w:pStyle w:val="ListParagraph"/>
        <w:numPr>
          <w:ilvl w:val="0"/>
          <w:numId w:val="6"/>
        </w:numPr>
        <w:spacing w:lineRule="auto" w:line="271"/>
        <w:jc w:val="both"/>
        <w:rPr>
          <w:rFonts w:cs="Calibri" w:cstheme="minorHAnsi"/>
          <w:sz w:val="24"/>
          <w:szCs w:val="24"/>
        </w:rPr>
      </w:pPr>
      <w:r>
        <w:rPr>
          <w:rFonts w:eastAsia="Ebrima" w:cs="Calibri" w:cstheme="minorHAnsi"/>
          <w:sz w:val="24"/>
          <w:szCs w:val="24"/>
        </w:rPr>
        <w:t>Przedsiębiorstwo Usług Miejskich „PUM” Sp. z o.o. z siedzibą w Grudziądzu.</w:t>
      </w:r>
    </w:p>
    <w:p>
      <w:pPr>
        <w:pStyle w:val="ListParagraph"/>
        <w:numPr>
          <w:ilvl w:val="0"/>
          <w:numId w:val="6"/>
        </w:numPr>
        <w:spacing w:lineRule="auto" w:line="271"/>
        <w:jc w:val="both"/>
        <w:rPr>
          <w:rFonts w:ascii="Calibri" w:hAnsi="Calibri" w:cs="Calibri"/>
          <w:sz w:val="24"/>
          <w:szCs w:val="24"/>
        </w:rPr>
      </w:pPr>
      <w:r>
        <w:rPr>
          <w:rFonts w:eastAsia="Ebrima" w:cs="Calibri" w:cstheme="minorHAnsi"/>
          <w:sz w:val="24"/>
          <w:szCs w:val="24"/>
        </w:rPr>
        <w:t>Czyste Kociewie Sp. z.o.o. z siedzibą w Pelplinie.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Calibri" w:hAnsi="Calibri" w:cs="Calibri"/>
          <w:sz w:val="24"/>
          <w:szCs w:val="24"/>
        </w:rPr>
      </w:pPr>
      <w:r>
        <w:rPr>
          <w:rFonts w:cs="Calibri"/>
          <w:sz w:val="24"/>
          <w:szCs w:val="24"/>
        </w:rPr>
        <w:t>W roku 2024 r. na podstawie uchwały Rady Miejskiej NR XXIII/210/20 z dnia 27 listopada 2020 r. w sprawie zmiany uchwały  Rady Miejskiej w Pelplinie w sprawie metody ustalenia opłaty za gospodarowanie odpadami komunalnymi oraz stawki opłaty, obowiązują stawki:</w:t>
      </w:r>
    </w:p>
    <w:p>
      <w:pPr>
        <w:pStyle w:val="Normal"/>
        <w:spacing w:before="0" w:after="0"/>
        <w:jc w:val="both"/>
        <w:rPr>
          <w:rFonts w:ascii="Calibri" w:hAnsi="Calibri" w:cs="Calibri"/>
          <w:sz w:val="24"/>
          <w:szCs w:val="24"/>
        </w:rPr>
      </w:pPr>
      <w:r>
        <w:rPr>
          <w:rFonts w:cs="Calibri"/>
          <w:sz w:val="24"/>
          <w:szCs w:val="24"/>
        </w:rPr>
      </w:r>
    </w:p>
    <w:p>
      <w:pPr>
        <w:pStyle w:val="ListParagraph"/>
        <w:numPr>
          <w:ilvl w:val="0"/>
          <w:numId w:val="7"/>
        </w:numPr>
        <w:spacing w:before="0" w:after="0"/>
        <w:contextualSpacing/>
        <w:jc w:val="both"/>
        <w:rPr>
          <w:rFonts w:ascii="Calibri" w:hAnsi="Calibri" w:cs="Calibri"/>
          <w:sz w:val="24"/>
          <w:szCs w:val="24"/>
        </w:rPr>
      </w:pPr>
      <w:r>
        <w:rPr>
          <w:rFonts w:cs="Calibri"/>
          <w:b/>
          <w:bCs/>
          <w:sz w:val="24"/>
          <w:szCs w:val="24"/>
        </w:rPr>
        <w:t>26,00 zł</w:t>
      </w:r>
      <w:r>
        <w:rPr>
          <w:rFonts w:cs="Calibri"/>
          <w:sz w:val="24"/>
          <w:szCs w:val="24"/>
        </w:rPr>
        <w:t xml:space="preserve"> miesięcznie za każdą osobę zamieszkującą daną nieruchomość, jeżeli odpady są zbierane i odbierane w sposób selektywny,</w:t>
      </w:r>
    </w:p>
    <w:p>
      <w:pPr>
        <w:pStyle w:val="ListParagraph"/>
        <w:numPr>
          <w:ilvl w:val="0"/>
          <w:numId w:val="7"/>
        </w:numPr>
        <w:spacing w:before="0" w:after="0"/>
        <w:contextualSpacing/>
        <w:jc w:val="both"/>
        <w:rPr>
          <w:rFonts w:ascii="Calibri" w:hAnsi="Calibri" w:cs="Calibri"/>
          <w:sz w:val="24"/>
          <w:szCs w:val="24"/>
        </w:rPr>
      </w:pPr>
      <w:r>
        <w:rPr>
          <w:rFonts w:cs="Calibri"/>
          <w:b/>
          <w:bCs/>
          <w:sz w:val="24"/>
          <w:szCs w:val="24"/>
        </w:rPr>
        <w:t>65,00 zł</w:t>
      </w:r>
      <w:r>
        <w:rPr>
          <w:rFonts w:cs="Calibri"/>
          <w:sz w:val="24"/>
          <w:szCs w:val="24"/>
        </w:rPr>
        <w:t xml:space="preserve"> miesięcznie za każdą osobę zamieszkującą daną nieruchomość, jeżeli właściciel nie  wypełnia obowiązku zbierania odpadów komunalnych w sposób selektywny.</w:t>
      </w:r>
    </w:p>
    <w:p>
      <w:pPr>
        <w:pStyle w:val="Normal"/>
        <w:spacing w:before="0" w:after="0"/>
        <w:jc w:val="both"/>
        <w:rPr>
          <w:rFonts w:ascii="Calibri" w:hAnsi="Calibri" w:cs="Calibri"/>
          <w:sz w:val="24"/>
          <w:szCs w:val="24"/>
        </w:rPr>
      </w:pPr>
      <w:r>
        <w:rPr>
          <w:rFonts w:cs="Calibri"/>
          <w:sz w:val="24"/>
          <w:szCs w:val="24"/>
        </w:rPr>
      </w:r>
    </w:p>
    <w:p>
      <w:pPr>
        <w:pStyle w:val="Normal"/>
        <w:spacing w:lineRule="auto" w:line="271"/>
        <w:jc w:val="both"/>
        <w:rPr>
          <w:rFonts w:ascii="Calibri" w:hAnsi="Calibri" w:eastAsia="Ebrima" w:cs="Calibri"/>
          <w:color w:val="000000" w:themeColor="text1"/>
          <w:sz w:val="24"/>
          <w:szCs w:val="24"/>
          <w:u w:val="single"/>
        </w:rPr>
      </w:pPr>
      <w:r>
        <w:rPr>
          <w:rFonts w:eastAsia="Ebrima" w:cs="Calibri"/>
          <w:b/>
          <w:bCs/>
          <w:color w:val="000000" w:themeColor="text1"/>
          <w:sz w:val="24"/>
          <w:szCs w:val="24"/>
          <w:u w:val="single"/>
        </w:rPr>
        <w:t>2.3 PUNKT SELEKTYWNEJ ZBIÓRKI ODPADÓW KOMUNALNYCH</w:t>
      </w:r>
      <w:r>
        <w:rPr>
          <w:rFonts w:eastAsia="Ebrima" w:cs="Calibri"/>
          <w:color w:val="000000" w:themeColor="text1"/>
          <w:sz w:val="24"/>
          <w:szCs w:val="24"/>
          <w:u w:val="single"/>
        </w:rPr>
        <w:t>.</w:t>
      </w:r>
    </w:p>
    <w:p>
      <w:pPr>
        <w:pStyle w:val="Normal"/>
        <w:spacing w:lineRule="auto" w:line="271"/>
        <w:jc w:val="both"/>
        <w:rPr>
          <w:rFonts w:ascii="Calibri" w:hAnsi="Calibri" w:eastAsia="Ebrima" w:cs="Calibri"/>
          <w:color w:val="000000" w:themeColor="text1"/>
          <w:sz w:val="24"/>
          <w:szCs w:val="24"/>
        </w:rPr>
      </w:pPr>
      <w:r>
        <w:rPr>
          <w:rFonts w:eastAsia="Ebrima" w:cs="Calibri"/>
          <w:color w:val="000000" w:themeColor="text1"/>
          <w:sz w:val="24"/>
          <w:szCs w:val="24"/>
        </w:rPr>
        <w:t xml:space="preserve">W gminie Pelplin w analizowanym okresie funkcjonował jeden Punkt Selektywnej Zbiorki Odpadów Komunalnych (tzw. PSZOK) w miejscowości Pelplin, na terenie bazy firmy Pelkom Sp. z.o.o.  </w:t>
      </w:r>
    </w:p>
    <w:p>
      <w:pPr>
        <w:pStyle w:val="Normal"/>
        <w:spacing w:lineRule="auto" w:line="271"/>
        <w:jc w:val="both"/>
        <w:rPr>
          <w:rFonts w:ascii="Calibri" w:hAnsi="Calibri" w:eastAsia="Ebrima" w:cs="Calibri"/>
          <w:color w:val="000000" w:themeColor="text1"/>
          <w:sz w:val="24"/>
          <w:szCs w:val="24"/>
        </w:rPr>
      </w:pPr>
      <w:r>
        <w:rPr>
          <w:rFonts w:eastAsia="Ebrima" w:cs="Calibri"/>
          <w:color w:val="000000" w:themeColor="text1"/>
          <w:sz w:val="24"/>
          <w:szCs w:val="24"/>
        </w:rPr>
        <w:t xml:space="preserve">Mieszkańcy gminy, którzy uiszczają opłaty z tytułu gospodarowania odpadami komunalnymi, do PSZOK-u mogą dostarczać nieodpłatnie selektywnie zbierane odpady komunalne:, takie jak: tworzywa sztuczne, szkło, papier i makulatura, metal, odpady wielkogabarytowe, zużyte opony, odpady elektryczne i elektroniczne, baterie i akumulatory oraz popiół. Do PSZOK-u nie przyjmuje się odpadów powstających w wyniku prowadzonej działalności gospodarczej. Odpady nie powinny być zmieszane, zanieczyszczone, a opakowania po substancjach niebezpiecznych płynnych powinny być nieuszkodzone. </w:t>
      </w:r>
    </w:p>
    <w:p>
      <w:pPr>
        <w:pStyle w:val="Normal"/>
        <w:spacing w:lineRule="auto" w:line="271"/>
        <w:jc w:val="both"/>
        <w:rPr>
          <w:rFonts w:ascii="Calibri" w:hAnsi="Calibri" w:eastAsia="Ebrima" w:cs="Calibri"/>
          <w:color w:val="000000" w:themeColor="text1"/>
          <w:sz w:val="24"/>
          <w:szCs w:val="24"/>
        </w:rPr>
      </w:pPr>
      <w:r>
        <w:rPr>
          <w:rFonts w:eastAsia="Ebrima" w:cs="Calibri"/>
          <w:color w:val="000000" w:themeColor="text1"/>
          <w:sz w:val="24"/>
          <w:szCs w:val="24"/>
        </w:rPr>
        <w:t>PSZOK był czynny w poniedziałki, środy, piątki i soboty w godzinach 12:00 – 18:00.</w:t>
      </w:r>
    </w:p>
    <w:p>
      <w:pPr>
        <w:pStyle w:val="Normal"/>
        <w:spacing w:lineRule="auto" w:line="271"/>
        <w:jc w:val="both"/>
        <w:rPr>
          <w:rFonts w:eastAsia="Ebrima" w:cs="Calibri" w:cstheme="minorHAnsi"/>
          <w:color w:val="000000" w:themeColor="text1"/>
          <w:sz w:val="24"/>
          <w:szCs w:val="24"/>
        </w:rPr>
      </w:pPr>
      <w:r>
        <w:rPr>
          <w:rFonts w:eastAsia="Ebrima" w:cs="Calibri"/>
          <w:color w:val="000000" w:themeColor="text1"/>
          <w:sz w:val="24"/>
          <w:szCs w:val="24"/>
        </w:rPr>
        <w:t xml:space="preserve">Od roku 2018 przez okres pięciu lat obowiązuje porozumienie międzygminne nr RIK.031.8.2018 Burmistrza Miasta i Gminy Pelplin w sprawie powierzenia Gminie Pelplin wykonywania zadania </w:t>
      </w:r>
      <w:r>
        <w:rPr>
          <w:rFonts w:eastAsia="Ebrima" w:cs="Calibri" w:cstheme="minorHAnsi"/>
          <w:color w:val="000000" w:themeColor="text1"/>
          <w:sz w:val="24"/>
          <w:szCs w:val="24"/>
        </w:rPr>
        <w:t>własnego Gminy Morzeszczyn w zakresie utrzymywania punktu selektywnego zbierania odpadów komunalnych. Porozumienie obowiązuje od dnia 23 sierpnia 2018r. Gmina Morzeszczyn partycypuje w kosztach obsługi PSZOK-u procentowo od ilości mieszkańców zamieszkujących Gminę Morzeszczyn. 30 grudnia 2020 r. podpisane zostało nowe porozumienie, które wprowadza zmiany w rozliczeniach między gminami.</w:t>
      </w:r>
    </w:p>
    <w:p>
      <w:pPr>
        <w:pStyle w:val="Normal"/>
        <w:spacing w:lineRule="auto" w:line="271"/>
        <w:jc w:val="both"/>
        <w:rPr>
          <w:rFonts w:eastAsia="Ebrima" w:cs="Calibri" w:cstheme="minorHAnsi"/>
          <w:color w:val="000000" w:themeColor="text1"/>
          <w:sz w:val="24"/>
          <w:szCs w:val="24"/>
        </w:rPr>
      </w:pPr>
      <w:r>
        <w:rPr>
          <w:rFonts w:eastAsia="Ebrima" w:cs="Calibri" w:cstheme="minorHAnsi"/>
          <w:color w:val="000000" w:themeColor="text1"/>
          <w:sz w:val="24"/>
          <w:szCs w:val="24"/>
        </w:rPr>
        <w:t>Za rok 2024 koszty obsługi PSZOK-u nadal były rozliczane na zasadzie procentowej ilości mieszkańców obu gmin, zaś ilości odpadów wg. faktycznego (waga) dostarczenia odpadów przez mieszkańców do PSZOK.</w:t>
      </w:r>
    </w:p>
    <w:p>
      <w:pPr>
        <w:pStyle w:val="Normal"/>
        <w:spacing w:before="0" w:after="0"/>
        <w:jc w:val="both"/>
        <w:rPr>
          <w:rFonts w:cs="Calibri" w:cstheme="minorHAnsi"/>
          <w:sz w:val="24"/>
          <w:szCs w:val="24"/>
        </w:rPr>
      </w:pPr>
      <w:r>
        <w:rPr>
          <w:rFonts w:cs="Calibri" w:cstheme="minorHAnsi"/>
          <w:sz w:val="24"/>
          <w:szCs w:val="24"/>
        </w:rPr>
        <w:t>Gmina Pelplin podpisała w marcu 2020 roku z firmą GUMEKO Sp. z o.o., umowę o współpracy handlowej, w której określono zasady wzajemnej współpracy Stron w zakresie przekazania odpadów  (zużyte opony), warunków oraz sposobu ich załadunku oraz ilości i częstotliwości dokonywania odbiorów tych odpadów, a także ceny i warunków płatności.</w:t>
      </w:r>
    </w:p>
    <w:p>
      <w:pPr>
        <w:pStyle w:val="Normal"/>
        <w:spacing w:before="0" w:after="0"/>
        <w:jc w:val="both"/>
        <w:rPr>
          <w:rFonts w:cs="Calibri" w:cstheme="minorHAnsi"/>
          <w:color w:val="FF0000"/>
          <w:sz w:val="24"/>
          <w:szCs w:val="24"/>
        </w:rPr>
      </w:pPr>
      <w:r>
        <w:rPr>
          <w:rFonts w:cs="Calibri" w:cstheme="minorHAnsi"/>
          <w:color w:val="FF0000"/>
          <w:sz w:val="24"/>
          <w:szCs w:val="24"/>
        </w:rPr>
      </w:r>
    </w:p>
    <w:p>
      <w:pPr>
        <w:pStyle w:val="Normal"/>
        <w:spacing w:before="0" w:after="0"/>
        <w:jc w:val="both"/>
        <w:rPr>
          <w:sz w:val="24"/>
          <w:szCs w:val="24"/>
        </w:rPr>
      </w:pPr>
      <w:r>
        <w:rPr>
          <w:color w:val="auto"/>
          <w:sz w:val="24"/>
          <w:szCs w:val="24"/>
        </w:rPr>
        <w:t xml:space="preserve">W związku z zakończeniem trwania umowy 30 grudnia 2023 r. podpisano aneks, który wszedł w życie 01 stycznia 2024 r. </w:t>
      </w:r>
    </w:p>
    <w:p>
      <w:pPr>
        <w:pStyle w:val="Normal"/>
        <w:spacing w:before="0" w:after="0"/>
        <w:jc w:val="both"/>
        <w:rPr>
          <w:sz w:val="24"/>
          <w:szCs w:val="24"/>
        </w:rPr>
      </w:pPr>
      <w:r>
        <w:rPr>
          <w:color w:val="auto"/>
          <w:sz w:val="24"/>
          <w:szCs w:val="24"/>
        </w:rPr>
        <w:t>Koszt jednej tony wynosi 100,00 zł netto/Mg</w:t>
      </w:r>
    </w:p>
    <w:p>
      <w:pPr>
        <w:pStyle w:val="Normal"/>
        <w:spacing w:before="0" w:after="0"/>
        <w:jc w:val="both"/>
        <w:rPr>
          <w:sz w:val="24"/>
          <w:szCs w:val="24"/>
        </w:rPr>
      </w:pPr>
      <w:r>
        <w:rPr>
          <w:color w:val="auto"/>
          <w:sz w:val="24"/>
          <w:szCs w:val="24"/>
        </w:rPr>
        <w:t xml:space="preserve">Koszt przekazania opon do GUMEKO w 2024 r. wyniósł </w:t>
      </w:r>
      <w:r>
        <w:rPr>
          <w:b/>
          <w:bCs/>
          <w:color w:val="auto"/>
          <w:sz w:val="24"/>
          <w:szCs w:val="24"/>
        </w:rPr>
        <w:t xml:space="preserve">3008,88 zł </w:t>
      </w:r>
      <w:r>
        <w:rPr>
          <w:color w:val="auto"/>
          <w:sz w:val="24"/>
          <w:szCs w:val="24"/>
        </w:rPr>
        <w:t>brutto.</w:t>
      </w:r>
    </w:p>
    <w:p>
      <w:pPr>
        <w:pStyle w:val="Normal"/>
        <w:spacing w:before="0" w:after="0"/>
        <w:jc w:val="both"/>
        <w:rPr>
          <w:sz w:val="24"/>
          <w:szCs w:val="24"/>
        </w:rPr>
      </w:pPr>
      <w:r>
        <w:rPr>
          <w:color w:val="auto"/>
          <w:sz w:val="24"/>
          <w:szCs w:val="24"/>
        </w:rPr>
        <w:t xml:space="preserve">Koszt przekazania opon do GUMEKO w 2025 r. (do marca) – </w:t>
      </w:r>
      <w:r>
        <w:rPr>
          <w:b/>
          <w:bCs/>
          <w:color w:val="auto"/>
          <w:sz w:val="24"/>
          <w:szCs w:val="24"/>
        </w:rPr>
        <w:t>1 248,48 zł</w:t>
      </w:r>
      <w:r>
        <w:rPr>
          <w:color w:val="auto"/>
          <w:sz w:val="24"/>
          <w:szCs w:val="24"/>
        </w:rPr>
        <w:t xml:space="preserve"> brutto.</w:t>
      </w:r>
    </w:p>
    <w:p>
      <w:pPr>
        <w:pStyle w:val="Normal"/>
        <w:spacing w:before="0" w:after="0"/>
        <w:jc w:val="both"/>
        <w:rPr>
          <w:color w:val="auto"/>
        </w:rPr>
      </w:pPr>
      <w:r>
        <w:rPr>
          <w:color w:val="auto"/>
        </w:rPr>
      </w:r>
    </w:p>
    <w:p>
      <w:pPr>
        <w:pStyle w:val="Normal"/>
        <w:spacing w:lineRule="auto" w:line="271"/>
        <w:jc w:val="both"/>
        <w:rPr>
          <w:rFonts w:ascii="Times New Roman" w:hAnsi="Times New Roman" w:eastAsia="Ebrima" w:cs="Times New Roman"/>
          <w:color w:val="000000" w:themeColor="text1"/>
          <w:sz w:val="24"/>
          <w:szCs w:val="24"/>
        </w:rPr>
      </w:pPr>
      <w:r>
        <w:rPr>
          <w:rFonts w:eastAsia="Ebrima" w:cs="Times New Roman" w:ascii="Times New Roman" w:hAnsi="Times New Roman"/>
          <w:color w:val="000000" w:themeColor="text1"/>
          <w:sz w:val="24"/>
          <w:szCs w:val="24"/>
        </w:rPr>
      </w:r>
    </w:p>
    <w:p>
      <w:pPr>
        <w:pStyle w:val="Normal"/>
        <w:spacing w:lineRule="auto" w:line="271"/>
        <w:jc w:val="both"/>
        <w:rPr>
          <w:rFonts w:eastAsia="Ebrima" w:cs="Calibri" w:cstheme="minorHAnsi"/>
          <w:b/>
          <w:b/>
          <w:color w:val="C00000"/>
          <w:sz w:val="24"/>
          <w:szCs w:val="24"/>
        </w:rPr>
      </w:pPr>
      <w:r>
        <w:rPr>
          <w:rFonts w:eastAsia="Ebrima" w:cs="Calibri" w:cstheme="minorHAnsi"/>
          <w:b/>
          <w:color w:val="000000" w:themeColor="text1"/>
          <w:sz w:val="24"/>
          <w:szCs w:val="24"/>
        </w:rPr>
        <w:t xml:space="preserve">III OBOWIĄZUJĄCE PRZEPISY ZWIĄZANE Z REALIZACJĄ SYSTEMU GOSPODAROWANIA ODPADAMI KOMUNALNYMI </w:t>
      </w:r>
    </w:p>
    <w:p>
      <w:pPr>
        <w:pStyle w:val="Normal"/>
        <w:spacing w:lineRule="auto" w:line="271"/>
        <w:jc w:val="both"/>
        <w:rPr>
          <w:rFonts w:eastAsia="Ebrima" w:cs="Calibri" w:cstheme="minorHAnsi"/>
          <w:bCs/>
          <w:color w:val="000000" w:themeColor="text1"/>
          <w:sz w:val="24"/>
          <w:szCs w:val="24"/>
        </w:rPr>
      </w:pPr>
      <w:r>
        <w:rPr>
          <w:rFonts w:eastAsia="Ebrima" w:cs="Calibri" w:cstheme="minorHAnsi"/>
          <w:bCs/>
          <w:color w:val="000000" w:themeColor="text1"/>
          <w:sz w:val="24"/>
          <w:szCs w:val="24"/>
        </w:rPr>
        <w:t>Zadania z zakresu utrzymania czystości i porządku realizowane są w gminie Pelplin w oparciu o przepisy praw krajowego:</w:t>
      </w:r>
    </w:p>
    <w:p>
      <w:pPr>
        <w:pStyle w:val="ListParagraph"/>
        <w:numPr>
          <w:ilvl w:val="0"/>
          <w:numId w:val="8"/>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USTAWA z dnia 8 marca 1990 r. o samorządzie gminnym (Dz.U. 2024.1465 t.j. z dnia 2024.10.03),</w:t>
      </w:r>
    </w:p>
    <w:p>
      <w:pPr>
        <w:pStyle w:val="ListParagraph"/>
        <w:numPr>
          <w:ilvl w:val="0"/>
          <w:numId w:val="8"/>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USTAWA z dnia 13 września 1996 r. o utrzymaniu czystości i porządku w gminach (Dz.U. 2024.399  t.j. z dnia 2024.03.18),</w:t>
      </w:r>
    </w:p>
    <w:p>
      <w:pPr>
        <w:pStyle w:val="ListParagraph"/>
        <w:numPr>
          <w:ilvl w:val="0"/>
          <w:numId w:val="8"/>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USTAWA z dnia 14 grudnia 2012 r. o odpadach (Dz.U. 2023.1587 t.j. z dnia 2023.08.10)</w:t>
      </w:r>
    </w:p>
    <w:p>
      <w:pPr>
        <w:pStyle w:val="ListParagraph"/>
        <w:numPr>
          <w:ilvl w:val="0"/>
          <w:numId w:val="8"/>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USTAWA z dnia 17 listopada 2021 r. o zmianie ustawy o odpadach oraz niektórych innych ustawa (Dz.U. 2021.2151 z dnia 2021.11.26).</w:t>
      </w:r>
    </w:p>
    <w:p>
      <w:pPr>
        <w:pStyle w:val="Normal"/>
        <w:spacing w:lineRule="auto" w:line="271"/>
        <w:jc w:val="both"/>
        <w:rPr>
          <w:rFonts w:eastAsia="Ebrima" w:cs="Calibri" w:cstheme="minorHAnsi"/>
          <w:bCs/>
          <w:color w:val="000000" w:themeColor="text1"/>
          <w:sz w:val="24"/>
          <w:szCs w:val="24"/>
        </w:rPr>
      </w:pPr>
      <w:r>
        <w:rPr>
          <w:rFonts w:eastAsia="Ebrima" w:cs="Calibri" w:cstheme="minorHAnsi"/>
          <w:bCs/>
          <w:color w:val="000000" w:themeColor="text1"/>
          <w:sz w:val="24"/>
          <w:szCs w:val="24"/>
        </w:rPr>
        <w:t>Oraz przepisy prawa miejscowego:</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XXXVI/297/21 RADY MIEJSKIEJ W PELPLINIE z dnia 26 listopada 2021 r. w sprawie regulaminu utrzymania czystości i porządku na terenie Gminy Pelplin (Dz. Urz. Woj. Pom. 2021.4835)</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XXXVI/298/21 RADY MIEJSKIEJ W PELPLINIE z dnia 26 listopada 2021 r. w sprawie szczegółowego sposobu i zakresu świadczenia usług w zakresie odbierania odpadów komunalnych od właścicieli nieruchomości, na których zamieszkują mieszkańcy i zagospodarowania tych odpadów za uiszczoną przez właściciela nieruchomości opłatę za gospodarowanie odpadami komunalnymi oraz świadczenia usług przez punkt selektywnej zbiórki odpadów komunalnych (Dz. Urz. Woj. Pom. 2021.4751)</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XXIII/210/20 RADY MIEJSKIEJ W PELPLINIE z dnia 27 listopada 2020 r. w sprawie zmiany uchwały Rady Miejskiej w sprawie metody ustalenia opłaty za gospodarowanie odpadami komunalnymi oraz stawki opłaty (Dz. Urz. Woj. Pom. 2020.5411)</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III/30/18 RADY MIEJSKIEJ W PELPLINIE  z dnia 21 grudnia 2018 r. w sprawie rodzajów dodatkowych świadczonych przez gminę w zakresie odbierania odpadów komunalnych od właścicieli nieruchomości i zagospodarowania tych odpadów oraz wysokości cen za te usługi (Dz. Urz. Woj. Pom. 2019.317),</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XXII/211/20 RADY MIEJSKIEJ W PELPLINIE z dnia 27 listopada 2020 r. w sprawie ustalenia wzoru deklaracji o wysokości opłaty za gospodarowanie odpadami komunalnymi (Dz. Urz. Woj. Pom.  2020.5379),</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XXV/209/12 RADY MIEJSKIEJ W PELPLINIE  z dnia 27 grudnia 2012 r. w sprawie terminu, częstotliwości i trybu uiszczania opłat za gospodarowanie odpadami komunalnymi (Dz. Urz. Woj. Pom. 2012.1179),</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XV/146/17 RADY MIEJSKIEJ W PELPLINIE  z dnia 5 grudnia 2019 r. w sprawie określenia górnych stawek opłat ponoszonych przez właścicieli nieruchomości, którzy nie są zobowiązani do ponoszenia opłat za gospodarowanie odpadami komunalnymi na rzecz Gminy Pelplin, za usługi w zakresie odbierania odpadów komunalnych oraz opróżniania zbiorników bezodpływowych i transportu nieczystości ciekłych (Dz. Urz. Woj. Pom. 2019.5941),</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XXIII/209/20 RADY MIEJSKIEJ W PELPLINIE z dnia 27 listopada 2022 r. w sprawie zawarcia porozumienia międzygminnego miedzy Gminą Pelplin a Gminą Morzeszczyn dotyczącego powierzenia Gminie Pelplin zadania własnego Gminy w zakresie utrzymania punktu selektywnego zbierania odpadów komunalnych w miejscowości Pelplin,</w:t>
      </w:r>
    </w:p>
    <w:p>
      <w:pPr>
        <w:pStyle w:val="ListParagraph"/>
        <w:numPr>
          <w:ilvl w:val="0"/>
          <w:numId w:val="9"/>
        </w:numPr>
        <w:spacing w:lineRule="auto" w:line="271"/>
        <w:jc w:val="both"/>
        <w:rPr>
          <w:rFonts w:eastAsia="Ebrima" w:cs="Calibri" w:cstheme="minorHAnsi"/>
          <w:bCs/>
          <w:color w:val="000000" w:themeColor="text1"/>
          <w:sz w:val="24"/>
          <w:szCs w:val="24"/>
        </w:rPr>
      </w:pPr>
      <w:r>
        <w:rPr>
          <w:rFonts w:eastAsia="Ebrima" w:cs="Calibri" w:cstheme="minorHAnsi"/>
          <w:bCs/>
          <w:i/>
          <w:iCs/>
          <w:color w:val="000000" w:themeColor="text1"/>
          <w:sz w:val="24"/>
          <w:szCs w:val="24"/>
        </w:rPr>
        <w:t>UCHWAŁA NR VII/48/07 RADY MIEJSKIEJ W PELPLINIE z dnia 26 czerwca 2007 r. w sprawie zlecenia gminnej osobie prawnej „Pelkom” Sp. z o.o. wykonywania niektórych zadań Gminy oraz upoważniania w tym zakresie Zarządu tej spółki do załatwiania indywidualnych spraw z zakresu administracji publicznej.</w:t>
      </w:r>
    </w:p>
    <w:p>
      <w:pPr>
        <w:pStyle w:val="ListParagraph"/>
        <w:spacing w:lineRule="auto" w:line="271"/>
        <w:jc w:val="both"/>
        <w:rPr>
          <w:rFonts w:ascii="Times New Roman" w:hAnsi="Times New Roman" w:eastAsia="Ebrima" w:cs="Times New Roman"/>
          <w:bCs/>
          <w:color w:val="000000" w:themeColor="text1"/>
          <w:sz w:val="24"/>
          <w:szCs w:val="24"/>
        </w:rPr>
      </w:pPr>
      <w:r>
        <w:rPr>
          <w:rFonts w:eastAsia="Ebrima" w:cs="Times New Roman" w:ascii="Times New Roman" w:hAnsi="Times New Roman"/>
          <w:bCs/>
          <w:color w:val="000000" w:themeColor="text1"/>
          <w:sz w:val="24"/>
          <w:szCs w:val="24"/>
        </w:rPr>
      </w:r>
    </w:p>
    <w:p>
      <w:pPr>
        <w:pStyle w:val="ListParagraph"/>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64"/>
        <w:ind w:right="360" w:hanging="0"/>
        <w:jc w:val="both"/>
        <w:rPr>
          <w:rFonts w:cs="Calibri" w:cstheme="minorHAnsi"/>
          <w:sz w:val="24"/>
          <w:szCs w:val="24"/>
        </w:rPr>
      </w:pPr>
      <w:r>
        <w:rPr>
          <w:rFonts w:cs="Calibri" w:cstheme="minorHAnsi"/>
          <w:b/>
          <w:sz w:val="24"/>
          <w:szCs w:val="24"/>
        </w:rPr>
        <w:t>IV</w:t>
      </w:r>
      <w:r>
        <w:rPr>
          <w:rFonts w:cs="Calibri" w:cstheme="minorHAnsi"/>
          <w:sz w:val="24"/>
          <w:szCs w:val="24"/>
        </w:rPr>
        <w:t xml:space="preserve">. </w:t>
      </w:r>
      <w:r>
        <w:rPr>
          <w:rFonts w:cs="Calibri" w:cstheme="minorHAnsi"/>
          <w:b/>
          <w:sz w:val="24"/>
          <w:szCs w:val="24"/>
        </w:rPr>
        <w:t>OCENA MOŻLIWOŚCI TECHNICZNYCH I ORGANIZACYJNYCH GOSPODAROWANIA ODPADAMI KOMUNALNYMI.</w:t>
      </w:r>
    </w:p>
    <w:p>
      <w:pPr>
        <w:pStyle w:val="Normal"/>
        <w:spacing w:lineRule="auto" w:line="264"/>
        <w:ind w:right="360" w:hanging="0"/>
        <w:jc w:val="both"/>
        <w:rPr>
          <w:rFonts w:cs="Calibri" w:cstheme="minorHAnsi"/>
          <w:b/>
          <w:b/>
          <w:bCs/>
          <w:sz w:val="24"/>
          <w:szCs w:val="24"/>
          <w:u w:val="single"/>
        </w:rPr>
      </w:pPr>
      <w:r>
        <w:rPr>
          <w:rFonts w:cs="Calibri" w:cstheme="minorHAnsi"/>
          <w:b/>
          <w:bCs/>
          <w:sz w:val="24"/>
          <w:szCs w:val="24"/>
          <w:u w:val="single"/>
        </w:rPr>
        <w:t>4.1 MOŻLIWOŚĆ PRZETWARZANIA ZMIESZANYCH ODPADÓW KOMUNALNYCH, ODPADÓW ZIELONYCH ORAZ POZOSTAŁOŚCI Z SORTOWANIA ODPADÓW KOMUNALNYCH PRZEZNACZONYCH DO SKŁADOWANIA.</w:t>
      </w:r>
    </w:p>
    <w:p>
      <w:pPr>
        <w:pStyle w:val="Normal"/>
        <w:spacing w:lineRule="auto" w:line="271"/>
        <w:jc w:val="both"/>
        <w:rPr>
          <w:rFonts w:eastAsia="Ebrima" w:cs="Calibri" w:cstheme="minorHAnsi"/>
          <w:sz w:val="24"/>
          <w:szCs w:val="24"/>
        </w:rPr>
      </w:pPr>
      <w:r>
        <w:rPr>
          <w:rFonts w:eastAsia="Ebrima" w:cs="Calibri" w:cstheme="minorHAnsi"/>
          <w:sz w:val="24"/>
          <w:szCs w:val="24"/>
        </w:rPr>
        <w:t xml:space="preserve">Zgodnie z art. 9e ust. 1 pkt. 2 </w:t>
      </w:r>
      <w:r>
        <w:rPr>
          <w:rFonts w:eastAsia="Ebrima" w:cs="Calibri" w:cstheme="minorHAnsi"/>
          <w:i/>
          <w:iCs/>
          <w:sz w:val="24"/>
          <w:szCs w:val="24"/>
        </w:rPr>
        <w:t>ustawy o utrzymaniu czystości i porządku w gminach</w:t>
      </w:r>
      <w:r>
        <w:rPr>
          <w:rFonts w:eastAsia="Ebrima" w:cs="Calibri" w:cstheme="minorHAnsi"/>
          <w:sz w:val="24"/>
          <w:szCs w:val="24"/>
        </w:rPr>
        <w:t xml:space="preserve">, podmiot odbierający odpady komunalne od właścicieli nieruchomości ma obowiązek przekazywać zmieszane odpady komunalne oraz odpady zielone bezpośrednio do regionalnych instalacji przetwarzania odpadów komunalnych (RIPOK), wyznaczonych w regionach gospodarki odpadami komunalnymi (RGOK). </w:t>
      </w:r>
    </w:p>
    <w:p>
      <w:pPr>
        <w:pStyle w:val="Normal"/>
        <w:spacing w:lineRule="auto" w:line="271"/>
        <w:jc w:val="both"/>
        <w:rPr>
          <w:rFonts w:cs="Calibri" w:cstheme="minorHAnsi"/>
          <w:sz w:val="24"/>
          <w:szCs w:val="24"/>
        </w:rPr>
      </w:pPr>
      <w:r>
        <w:rPr>
          <w:rFonts w:eastAsia="Ebrima" w:cs="Calibri" w:cstheme="minorHAnsi"/>
          <w:sz w:val="24"/>
          <w:szCs w:val="24"/>
        </w:rPr>
        <w:t xml:space="preserve">W przypadku wystąpienia awarii regionalnej instalacji do przetwarzania odpadów komunalnych lub w innych przypadkach uniemożliwiających przyjmowanie zmieszanych odpadów komunalnych lub odpadów zielonych, odpady te, zgodnie </w:t>
        <w:br/>
        <w:t>z art. 9l ust. 2 powyższej ustawy, przekazuje się do instalacji przewidzianych do zastępczej obsługi tego regionu.</w:t>
      </w:r>
    </w:p>
    <w:p>
      <w:pPr>
        <w:pStyle w:val="Normal"/>
        <w:spacing w:lineRule="auto" w:line="271"/>
        <w:jc w:val="both"/>
        <w:rPr>
          <w:rFonts w:ascii="Times New Roman" w:hAnsi="Times New Roman" w:eastAsia="Ebrima" w:cs="Times New Roman"/>
          <w:sz w:val="24"/>
          <w:szCs w:val="24"/>
        </w:rPr>
      </w:pPr>
      <w:r>
        <w:rPr>
          <w:rFonts w:eastAsia="Ebrima" w:cs="Calibri" w:cstheme="minorHAnsi"/>
          <w:sz w:val="24"/>
          <w:szCs w:val="24"/>
        </w:rPr>
        <w:t xml:space="preserve">Stosownie do zapisów </w:t>
      </w:r>
      <w:r>
        <w:rPr>
          <w:rFonts w:eastAsia="Ebrima" w:cs="Calibri" w:cstheme="minorHAnsi"/>
          <w:i/>
          <w:iCs/>
          <w:sz w:val="24"/>
          <w:szCs w:val="24"/>
        </w:rPr>
        <w:t>Planu</w:t>
      </w:r>
      <w:r>
        <w:rPr>
          <w:rFonts w:eastAsia="Ebrima" w:cs="Calibri" w:cstheme="minorHAnsi"/>
          <w:sz w:val="24"/>
          <w:szCs w:val="24"/>
        </w:rPr>
        <w:t xml:space="preserve"> </w:t>
      </w:r>
      <w:r>
        <w:rPr>
          <w:rFonts w:eastAsia="Ebrima" w:cs="Calibri" w:cstheme="minorHAnsi"/>
          <w:i/>
          <w:iCs/>
          <w:sz w:val="24"/>
          <w:szCs w:val="24"/>
        </w:rPr>
        <w:t>Gospodarki Odpadami dla Województwa</w:t>
      </w:r>
      <w:r>
        <w:rPr>
          <w:rFonts w:eastAsia="Ebrima" w:cs="Calibri" w:cstheme="minorHAnsi"/>
          <w:sz w:val="24"/>
          <w:szCs w:val="24"/>
        </w:rPr>
        <w:t xml:space="preserve"> </w:t>
      </w:r>
      <w:r>
        <w:rPr>
          <w:rFonts w:eastAsia="Ebrima" w:cs="Calibri" w:cstheme="minorHAnsi"/>
          <w:i/>
          <w:iCs/>
          <w:sz w:val="24"/>
          <w:szCs w:val="24"/>
        </w:rPr>
        <w:t>Pomorskiego 2022</w:t>
      </w:r>
      <w:r>
        <w:rPr>
          <w:rFonts w:eastAsia="Ebrima" w:cs="Calibri" w:cstheme="minorHAnsi"/>
          <w:sz w:val="24"/>
          <w:szCs w:val="24"/>
        </w:rPr>
        <w:t xml:space="preserve"> </w:t>
        <w:br/>
        <w:t>w województwie pomorskim wyznaczono 4 regiony gospodarki odpadami komunalnymi: północny, południowy, zachodni i wschodni (ryc. nr 1). Gmina Pelplin należy do regionu wschodniego obejmującego 32 gminy z powiatów: gdańskiego, kwidzyńskiego, malborskiego,</w:t>
      </w:r>
      <w:r>
        <w:rPr>
          <w:rFonts w:eastAsia="Ebrima" w:cs="Times New Roman" w:ascii="Times New Roman" w:hAnsi="Times New Roman"/>
          <w:sz w:val="24"/>
          <w:szCs w:val="24"/>
        </w:rPr>
        <w:t xml:space="preserve"> nowodworskiego, sztumskiego i tczewskiego. Region Wschodni liczy ponad 373 tys. mieszkańców i jest drugim, co do liczebności w województwie pomorskim.</w:t>
      </w:r>
    </w:p>
    <w:p>
      <w:pPr>
        <w:pStyle w:val="Normal"/>
        <w:spacing w:lineRule="auto" w:line="271"/>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28"/>
        <w:ind w:left="260" w:hanging="0"/>
        <w:jc w:val="both"/>
        <w:rPr>
          <w:rFonts w:cs="Calibri" w:cstheme="minorHAnsi"/>
          <w:sz w:val="24"/>
          <w:szCs w:val="24"/>
        </w:rPr>
      </w:pPr>
      <w:r>
        <w:rPr>
          <w:rFonts w:eastAsia="Ebrima" w:cs="Calibri" w:cstheme="minorHAnsi"/>
          <w:i/>
          <w:iCs/>
          <w:sz w:val="24"/>
          <w:szCs w:val="24"/>
        </w:rPr>
        <w:t>Ryc. nr 1. Podział województwa pomorskiego na regiony gospodarki odpadami - źródło: Plan Gospodarki Odpadami dla Województwa Pomorskiego 2022</w:t>
      </w:r>
    </w:p>
    <w:p>
      <w:pPr>
        <w:pStyle w:val="Normal"/>
        <w:spacing w:lineRule="exact" w:line="20"/>
        <w:jc w:val="both"/>
        <w:rPr>
          <w:rFonts w:ascii="Times New Roman" w:hAnsi="Times New Roman" w:cs="Times New Roman"/>
          <w:sz w:val="24"/>
          <w:szCs w:val="24"/>
        </w:rPr>
      </w:pPr>
      <w:r>
        <w:rPr>
          <w:rFonts w:cs="Times New Roman" w:ascii="Times New Roman" w:hAnsi="Times New Roman"/>
          <w:sz w:val="24"/>
          <w:szCs w:val="24"/>
        </w:rPr>
        <w:drawing>
          <wp:anchor behindDoc="1" distT="0" distB="0" distL="0" distR="0" simplePos="0" locked="0" layoutInCell="0" allowOverlap="1" relativeHeight="2">
            <wp:simplePos x="0" y="0"/>
            <wp:positionH relativeFrom="column">
              <wp:posOffset>165735</wp:posOffset>
            </wp:positionH>
            <wp:positionV relativeFrom="paragraph">
              <wp:posOffset>190500</wp:posOffset>
            </wp:positionV>
            <wp:extent cx="5760720" cy="3737610"/>
            <wp:effectExtent l="0" t="0" r="0" b="0"/>
            <wp:wrapNone/>
            <wp:docPr id="1"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
                    <pic:cNvPicPr>
                      <a:picLocks noChangeAspect="1" noChangeArrowheads="1"/>
                    </pic:cNvPicPr>
                  </pic:nvPicPr>
                  <pic:blipFill>
                    <a:blip r:embed="rId2"/>
                    <a:stretch>
                      <a:fillRect/>
                    </a:stretch>
                  </pic:blipFill>
                  <pic:spPr bwMode="auto">
                    <a:xfrm>
                      <a:off x="0" y="0"/>
                      <a:ext cx="5760720" cy="3737610"/>
                    </a:xfrm>
                    <a:prstGeom prst="rect">
                      <a:avLst/>
                    </a:prstGeom>
                  </pic:spPr>
                </pic:pic>
              </a:graphicData>
            </a:graphic>
          </wp:anchor>
        </w:drawing>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0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 xml:space="preserve">W regionie wschodnim funkcjonują dwie duże regionalne instalacje do przetwarzania odpadów komunalnych (RIPOK Gilwa Mała oraz RIPOK Tczew), które zapewniają mechaniczno-biologiczne przetwarzanie odpadów komunalnych, zagospodarowanie odpadów zielonych </w:t>
        <w:br/>
        <w:t xml:space="preserve">i innych bioodpadów oraz składowanie pozostałości po mechaniczno-biologicznym przetwarzaniu oraz sortowaniu odpadów komunalnych. Ponadto, w regionie wyznaczono dodatkowy RIPOK w zakresie zagospodarowania odpadów zielonych i innych odpadów ulegających biodegradacji, jest to RIPOK Kommunalservice Vornkahl Polska. </w:t>
      </w:r>
    </w:p>
    <w:p>
      <w:pPr>
        <w:pStyle w:val="Normal"/>
        <w:spacing w:lineRule="auto" w:line="271"/>
        <w:ind w:left="260" w:hanging="0"/>
        <w:jc w:val="both"/>
        <w:rPr>
          <w:rFonts w:cs="Calibri" w:cstheme="minorHAnsi"/>
          <w:sz w:val="24"/>
          <w:szCs w:val="24"/>
        </w:rPr>
      </w:pPr>
      <w:r>
        <w:rPr>
          <w:rFonts w:eastAsia="Ebrima" w:cs="Calibri" w:cstheme="minorHAnsi"/>
          <w:sz w:val="24"/>
          <w:szCs w:val="24"/>
        </w:rPr>
        <w:t xml:space="preserve">Poniżej przedstawiono krótką charakterystykę Regionalnych Instalacji Przetwarzania Odpadów Komunalnych regionu wschodniego. </w:t>
      </w:r>
    </w:p>
    <w:p>
      <w:pPr>
        <w:pStyle w:val="Normal"/>
        <w:spacing w:lineRule="exact" w:line="226"/>
        <w:jc w:val="both"/>
        <w:rPr>
          <w:rFonts w:ascii="Times New Roman" w:hAnsi="Times New Roman" w:cs="Times New Roman"/>
          <w:sz w:val="24"/>
          <w:szCs w:val="24"/>
        </w:rPr>
      </w:pPr>
      <w:r>
        <w:rPr>
          <w:rFonts w:cs="Times New Roman" w:ascii="Times New Roman" w:hAnsi="Times New Roman"/>
          <w:sz w:val="24"/>
          <w:szCs w:val="24"/>
        </w:rPr>
      </w:r>
    </w:p>
    <w:p>
      <w:pPr>
        <w:pStyle w:val="Normal"/>
        <w:ind w:left="260" w:right="100" w:hanging="0"/>
        <w:jc w:val="both"/>
        <w:rPr>
          <w:rFonts w:eastAsia="Ebrima" w:cs="Calibri" w:cstheme="minorHAnsi"/>
          <w:b/>
          <w:b/>
          <w:bCs/>
          <w:sz w:val="24"/>
          <w:szCs w:val="24"/>
        </w:rPr>
      </w:pPr>
      <w:r>
        <w:rPr>
          <w:rFonts w:eastAsia="Ebrima" w:cs="Calibri" w:cstheme="minorHAnsi"/>
          <w:b/>
          <w:bCs/>
          <w:sz w:val="24"/>
          <w:szCs w:val="24"/>
        </w:rPr>
        <w:t xml:space="preserve">RIPOK TCZEW - ZAKŁAD UTYLIZACJI ODPADÓW STAŁYCH SP. Z O.O., UL. ROKICKA 5A, 83-110 TCZEW </w:t>
      </w:r>
    </w:p>
    <w:p>
      <w:pPr>
        <w:pStyle w:val="Normal"/>
        <w:ind w:left="260" w:right="100" w:hanging="0"/>
        <w:jc w:val="both"/>
        <w:rPr>
          <w:rFonts w:eastAsia="Ebrima" w:cs="Calibri" w:cstheme="minorHAnsi"/>
          <w:sz w:val="24"/>
          <w:szCs w:val="24"/>
        </w:rPr>
      </w:pPr>
      <w:r>
        <w:rPr>
          <w:rFonts w:eastAsia="Ebrima" w:cs="Calibri" w:cstheme="minorHAnsi"/>
          <w:sz w:val="24"/>
          <w:szCs w:val="24"/>
        </w:rPr>
        <w:t>Zakład jest wyposażony w:</w:t>
      </w:r>
    </w:p>
    <w:p>
      <w:pPr>
        <w:pStyle w:val="Normal"/>
        <w:numPr>
          <w:ilvl w:val="0"/>
          <w:numId w:val="11"/>
        </w:numPr>
        <w:tabs>
          <w:tab w:val="clear" w:pos="708"/>
          <w:tab w:val="left" w:pos="520" w:leader="none"/>
        </w:tabs>
        <w:spacing w:lineRule="auto" w:line="240" w:before="0" w:after="0"/>
        <w:jc w:val="both"/>
        <w:rPr>
          <w:rFonts w:eastAsia="Ebrima" w:cs="Calibri" w:cstheme="minorHAnsi"/>
          <w:sz w:val="24"/>
          <w:szCs w:val="24"/>
        </w:rPr>
      </w:pPr>
      <w:r>
        <w:rPr>
          <w:rFonts w:eastAsia="Ebrima" w:cs="Calibri" w:cstheme="minorHAnsi"/>
          <w:sz w:val="24"/>
          <w:szCs w:val="24"/>
        </w:rPr>
        <w:t>Sortownię odpadów zmieszanych - 75 000 Mg/rok (przy pracy na 2 zmiany);</w:t>
      </w:r>
    </w:p>
    <w:p>
      <w:pPr>
        <w:pStyle w:val="ListParagraph"/>
        <w:numPr>
          <w:ilvl w:val="0"/>
          <w:numId w:val="11"/>
        </w:numPr>
        <w:ind w:left="980" w:right="100" w:hanging="360"/>
        <w:jc w:val="both"/>
        <w:rPr>
          <w:rFonts w:cs="Calibri" w:cstheme="minorHAnsi"/>
          <w:sz w:val="24"/>
          <w:szCs w:val="24"/>
        </w:rPr>
      </w:pPr>
      <w:r>
        <w:rPr>
          <w:rFonts w:eastAsia="Ebrima" w:cs="Calibri" w:cstheme="minorHAnsi"/>
          <w:sz w:val="24"/>
          <w:szCs w:val="24"/>
        </w:rPr>
        <w:t>Sortownię odpadów surowcowych - 15 000 Mg/rok;</w:t>
      </w:r>
    </w:p>
    <w:p>
      <w:pPr>
        <w:pStyle w:val="ListParagraph"/>
        <w:numPr>
          <w:ilvl w:val="0"/>
          <w:numId w:val="11"/>
        </w:numPr>
        <w:tabs>
          <w:tab w:val="clear" w:pos="708"/>
          <w:tab w:val="left" w:pos="520" w:leader="none"/>
        </w:tabs>
        <w:spacing w:lineRule="auto" w:line="240" w:before="0" w:after="0"/>
        <w:ind w:left="980" w:right="100" w:hanging="360"/>
        <w:contextualSpacing/>
        <w:jc w:val="both"/>
        <w:rPr>
          <w:rFonts w:cs="Calibri" w:cstheme="minorHAnsi"/>
          <w:sz w:val="24"/>
          <w:szCs w:val="24"/>
        </w:rPr>
      </w:pPr>
      <w:r>
        <w:rPr>
          <w:rFonts w:eastAsia="Ebrima" w:cs="Calibri" w:cstheme="minorHAnsi"/>
          <w:sz w:val="24"/>
          <w:szCs w:val="24"/>
        </w:rPr>
        <w:t>Halę instalacji intensywnej stabilizacji/kompostowania z biofiltrem - 44 280 Mg/rok</w:t>
      </w:r>
    </w:p>
    <w:p>
      <w:pPr>
        <w:pStyle w:val="Normal"/>
        <w:numPr>
          <w:ilvl w:val="0"/>
          <w:numId w:val="11"/>
        </w:numPr>
        <w:tabs>
          <w:tab w:val="clear" w:pos="708"/>
          <w:tab w:val="left" w:pos="520" w:leader="none"/>
        </w:tabs>
        <w:spacing w:lineRule="auto" w:line="240" w:before="0" w:after="0"/>
        <w:jc w:val="both"/>
        <w:rPr>
          <w:rFonts w:eastAsia="Ebrima" w:cs="Calibri" w:cstheme="minorHAnsi"/>
          <w:sz w:val="24"/>
          <w:szCs w:val="24"/>
        </w:rPr>
      </w:pPr>
      <w:r>
        <w:rPr>
          <w:rFonts w:eastAsia="Ebrima" w:cs="Calibri" w:cstheme="minorHAnsi"/>
          <w:sz w:val="24"/>
          <w:szCs w:val="24"/>
        </w:rPr>
        <w:t>Kwaterę na odpady balastowe – 639 750,0 m;</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Plac dojrzewania oraz doczyszczania i okresowego magazynowania stabilizator – 28 000 Mg/rok;</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Plac przygotowania oraz kompostowania odpadów zielonych z boksami magazynowymi – 1 245 Mg/rok;</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PSZOK – segment przyjmowania odpadów od dostawców indywidualnych z rampą rozładowczą, placem na kontenery oraz trzema zadaszonymi stanowiskami do czasowego gromadzenia odpadów wielkogabarytowych i gotowego kompostu;</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Punkt przetwarzania sprzętu elektrycznego i elektronicznego – 500 Mg/rok;</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Magazyn odpadów niebezpiecznych i wiatę na odpady niebezpieczne;</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Segment demontażu odpadów wielkogabarytowych – 4 500 Mg/rok;</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Segment magazynowania i rozdrabniania odpadów wielkogabarytowych – 1 850 m;</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Boksy na odpady wydzielone w sortowni;</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Stację paliw;</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Sprzęt ciężki do eksploatacji składowiska;</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Wagę samochodową;</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Brodziki dezynfekcyjne;</w:t>
      </w:r>
    </w:p>
    <w:p>
      <w:pPr>
        <w:pStyle w:val="ListParagraph"/>
        <w:numPr>
          <w:ilvl w:val="0"/>
          <w:numId w:val="11"/>
        </w:numPr>
        <w:ind w:left="980" w:right="100" w:hanging="360"/>
        <w:jc w:val="both"/>
        <w:rPr>
          <w:rFonts w:cs="Calibri" w:cstheme="minorHAnsi"/>
          <w:sz w:val="24"/>
          <w:szCs w:val="24"/>
        </w:rPr>
      </w:pPr>
      <w:r>
        <w:rPr>
          <w:rFonts w:cs="Calibri" w:cstheme="minorHAnsi"/>
          <w:sz w:val="24"/>
          <w:szCs w:val="24"/>
        </w:rPr>
        <w:t>Zaplecze administracyjno – socjalne, zaplecze warsztatowe.</w:t>
      </w:r>
    </w:p>
    <w:p>
      <w:pPr>
        <w:pStyle w:val="Normal"/>
        <w:spacing w:lineRule="exact" w:line="371"/>
        <w:jc w:val="both"/>
        <w:rPr>
          <w:rFonts w:cs="Calibri" w:cstheme="minorHAnsi"/>
          <w:sz w:val="24"/>
          <w:szCs w:val="24"/>
        </w:rPr>
      </w:pPr>
      <w:r>
        <w:rPr>
          <w:rFonts w:cs="Calibri" w:cstheme="minorHAnsi"/>
          <w:sz w:val="24"/>
          <w:szCs w:val="24"/>
        </w:rPr>
      </w:r>
    </w:p>
    <w:p>
      <w:pPr>
        <w:pStyle w:val="Normal"/>
        <w:spacing w:lineRule="auto" w:line="259"/>
        <w:ind w:left="260" w:right="280" w:hanging="0"/>
        <w:jc w:val="both"/>
        <w:rPr>
          <w:rFonts w:ascii="Calibri" w:hAnsi="Calibri" w:eastAsia="Ebrima" w:cs="Calibri"/>
          <w:sz w:val="24"/>
          <w:szCs w:val="24"/>
        </w:rPr>
      </w:pPr>
      <w:r>
        <w:rPr>
          <w:rFonts w:eastAsia="Ebrima" w:cs="Calibri"/>
          <w:b/>
          <w:bCs/>
          <w:sz w:val="24"/>
          <w:szCs w:val="24"/>
        </w:rPr>
        <w:t>RIPOK GILWA MAŁA - ZAKŁAD UTYLIZACJI ODPADÓW SP. Z O.O. GILWA MAŁA 8, 82-500 KWIDZYN</w:t>
      </w:r>
      <w:r>
        <w:rPr>
          <w:rFonts w:eastAsia="Ebrima" w:cs="Calibri"/>
          <w:sz w:val="24"/>
          <w:szCs w:val="24"/>
        </w:rPr>
        <w:t xml:space="preserve"> </w:t>
      </w:r>
    </w:p>
    <w:p>
      <w:pPr>
        <w:pStyle w:val="Normal"/>
        <w:spacing w:lineRule="auto" w:line="259"/>
        <w:ind w:left="260" w:right="280" w:hanging="0"/>
        <w:jc w:val="both"/>
        <w:rPr>
          <w:rFonts w:ascii="Calibri" w:hAnsi="Calibri" w:eastAsia="Ebrima" w:cs="Calibri"/>
          <w:sz w:val="24"/>
          <w:szCs w:val="24"/>
        </w:rPr>
      </w:pPr>
      <w:r>
        <w:rPr>
          <w:rFonts w:eastAsia="Ebrima" w:cs="Calibri"/>
          <w:sz w:val="24"/>
          <w:szCs w:val="24"/>
        </w:rPr>
        <w:t>Zakład jest wyposażony w:</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Sortownię odpadów zmieszanych – 27 600 Mg/rok;</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Kompostownię pryzmową – 13 500 Mg/rok;</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Punkt demontażu odpadów wielkogabarytowych – 1 000 Mg/rok;</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Plac czasowego magazynowania odpadów innych niż niebezpieczne;</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Magazyn do czasowego przechowywania odpadów niebezpiecznych, pochodzących ze strumienia odpadów komunalnych oraz zbieranych selektywnie;</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Boksy na surowce wtórne;</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Kwaterę odpadów balastowych – 185 000 m;</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Kwaterę na odpady zawierające azbest - poj, użytkowa 58 773 m</w:t>
      </w:r>
      <w:r>
        <w:rPr>
          <w:rFonts w:cs="Calibri"/>
          <w:sz w:val="24"/>
          <w:szCs w:val="24"/>
          <w:vertAlign w:val="superscript"/>
        </w:rPr>
        <w:t>3</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Sprzęt ciężki do eksploatacji składowiska;</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Wagę samochodową;</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Brodziki dezynfekcyjne;</w:t>
      </w:r>
    </w:p>
    <w:p>
      <w:pPr>
        <w:pStyle w:val="ListParagraph"/>
        <w:numPr>
          <w:ilvl w:val="0"/>
          <w:numId w:val="10"/>
        </w:numPr>
        <w:spacing w:lineRule="auto" w:line="276"/>
        <w:ind w:left="980" w:right="280" w:hanging="360"/>
        <w:jc w:val="both"/>
        <w:rPr>
          <w:rFonts w:ascii="Calibri" w:hAnsi="Calibri" w:cs="Calibri"/>
          <w:sz w:val="24"/>
          <w:szCs w:val="24"/>
        </w:rPr>
      </w:pPr>
      <w:r>
        <w:rPr>
          <w:rFonts w:cs="Calibri"/>
          <w:sz w:val="24"/>
          <w:szCs w:val="24"/>
        </w:rPr>
        <w:t>Zaplecze administracyjno – socjalne, zaplecze warsztatowe.</w:t>
      </w:r>
    </w:p>
    <w:p>
      <w:pPr>
        <w:pStyle w:val="Normal"/>
        <w:tabs>
          <w:tab w:val="clear" w:pos="708"/>
          <w:tab w:val="left" w:pos="580" w:leader="none"/>
        </w:tabs>
        <w:spacing w:lineRule="auto" w:line="240" w:before="0" w:after="0"/>
        <w:jc w:val="both"/>
        <w:rPr>
          <w:rFonts w:eastAsia="Ebrima" w:cs="Calibri" w:cstheme="minorHAnsi"/>
          <w:sz w:val="24"/>
          <w:szCs w:val="24"/>
        </w:rPr>
      </w:pPr>
      <w:r>
        <w:rPr>
          <w:rFonts w:eastAsia="Ebrima" w:cs="Calibri" w:cstheme="minorHAnsi"/>
          <w:sz w:val="24"/>
          <w:szCs w:val="24"/>
        </w:rPr>
      </w:r>
    </w:p>
    <w:p>
      <w:pPr>
        <w:pStyle w:val="Normal"/>
        <w:tabs>
          <w:tab w:val="clear" w:pos="708"/>
          <w:tab w:val="left" w:pos="580" w:leader="none"/>
        </w:tabs>
        <w:spacing w:lineRule="auto" w:line="240" w:before="0" w:after="0"/>
        <w:jc w:val="both"/>
        <w:rPr>
          <w:rFonts w:eastAsia="Ebrima" w:cs="Calibri" w:cstheme="minorHAnsi"/>
          <w:sz w:val="24"/>
          <w:szCs w:val="24"/>
        </w:rPr>
      </w:pPr>
      <w:r>
        <w:rPr>
          <w:rFonts w:eastAsia="Ebrima" w:cs="Calibri" w:cstheme="minorHAnsi"/>
          <w:sz w:val="24"/>
          <w:szCs w:val="24"/>
        </w:rPr>
      </w:r>
    </w:p>
    <w:p>
      <w:pPr>
        <w:pStyle w:val="Normal"/>
        <w:spacing w:lineRule="exact" w:line="260"/>
        <w:jc w:val="both"/>
        <w:rPr>
          <w:rFonts w:cs="Calibri" w:cstheme="minorHAnsi"/>
          <w:sz w:val="24"/>
          <w:szCs w:val="24"/>
        </w:rPr>
      </w:pPr>
      <w:r>
        <w:rPr>
          <w:rFonts w:cs="Calibri" w:cstheme="minorHAnsi"/>
          <w:sz w:val="24"/>
          <w:szCs w:val="24"/>
        </w:rPr>
      </w:r>
    </w:p>
    <w:p>
      <w:pPr>
        <w:pStyle w:val="Normal"/>
        <w:ind w:left="260" w:right="20" w:hanging="0"/>
        <w:jc w:val="both"/>
        <w:rPr>
          <w:rFonts w:cs="Calibri" w:cstheme="minorHAnsi"/>
          <w:b/>
          <w:b/>
          <w:bCs/>
          <w:sz w:val="24"/>
          <w:szCs w:val="24"/>
        </w:rPr>
      </w:pPr>
      <w:r>
        <w:rPr>
          <w:rFonts w:eastAsia="Ebrima" w:cs="Calibri" w:cstheme="minorHAnsi"/>
          <w:b/>
          <w:bCs/>
          <w:sz w:val="24"/>
          <w:szCs w:val="24"/>
        </w:rPr>
        <w:t>RIPOK KOMMUNALSERVICE VORNKAHL POLSKA - KOMMUNALSERVICE VORNKAHL POLSKA SP. Z O.O., UL. CZATKOWSKA 8, 83-110 TCZEW</w:t>
      </w:r>
    </w:p>
    <w:p>
      <w:pPr>
        <w:pStyle w:val="Normal"/>
        <w:spacing w:lineRule="exact" w:line="237"/>
        <w:jc w:val="both"/>
        <w:rPr>
          <w:rFonts w:cs="Calibri" w:cstheme="minorHAnsi"/>
          <w:sz w:val="24"/>
          <w:szCs w:val="24"/>
        </w:rPr>
      </w:pPr>
      <w:r>
        <w:rPr>
          <w:rFonts w:cs="Calibri" w:cstheme="minorHAnsi"/>
          <w:sz w:val="24"/>
          <w:szCs w:val="24"/>
        </w:rPr>
      </w:r>
    </w:p>
    <w:p>
      <w:pPr>
        <w:pStyle w:val="Normal"/>
        <w:spacing w:lineRule="auto" w:line="271"/>
        <w:ind w:left="260" w:hanging="0"/>
        <w:jc w:val="both"/>
        <w:rPr>
          <w:rFonts w:cs="Calibri" w:cstheme="minorHAnsi"/>
          <w:sz w:val="24"/>
          <w:szCs w:val="24"/>
        </w:rPr>
      </w:pPr>
      <w:r>
        <w:rPr>
          <w:rFonts w:eastAsia="Ebrima" w:cs="Calibri" w:cstheme="minorHAnsi"/>
          <w:sz w:val="24"/>
          <w:szCs w:val="24"/>
        </w:rPr>
        <w:t>Zakład zajmuje się unieszkodliwianiem odpadów ulegających biodegradacji oraz produkcją wysokiej jakości kompostu. Zdolności przerobowe instalacji, należącej do firmy Kommunalservice Vornkahl Polska sp. z o.o., pozwalają na przyjęcie i przetworzenie odpadów zielonych od co najmniej 120 tys. mieszkańców. Zakład jest wyposażony w kompostownię odpadów organicznych zdolną zagospodarować 50 000 Mg/rok odpadów.</w:t>
      </w:r>
    </w:p>
    <w:p>
      <w:pPr>
        <w:pStyle w:val="Normal"/>
        <w:spacing w:lineRule="exact" w:line="223"/>
        <w:jc w:val="both"/>
        <w:rPr>
          <w:rFonts w:cs="Calibri" w:cstheme="minorHAnsi"/>
          <w:sz w:val="24"/>
          <w:szCs w:val="24"/>
        </w:rPr>
      </w:pPr>
      <w:r>
        <w:rPr>
          <w:rFonts w:cs="Calibri" w:cstheme="minorHAnsi"/>
          <w:sz w:val="24"/>
          <w:szCs w:val="24"/>
        </w:rPr>
      </w:r>
    </w:p>
    <w:p>
      <w:pPr>
        <w:pStyle w:val="Normal"/>
        <w:spacing w:lineRule="auto" w:line="271"/>
        <w:ind w:left="260" w:hanging="0"/>
        <w:jc w:val="both"/>
        <w:rPr>
          <w:rFonts w:cs="Calibri" w:cstheme="minorHAnsi"/>
          <w:sz w:val="24"/>
          <w:szCs w:val="24"/>
        </w:rPr>
      </w:pPr>
      <w:r>
        <w:rPr>
          <w:rFonts w:eastAsia="Ebrima" w:cs="Calibri" w:cstheme="minorHAnsi"/>
          <w:sz w:val="24"/>
          <w:szCs w:val="24"/>
        </w:rPr>
        <w:t xml:space="preserve">Wymienione powyżej zakłady zapewniają zagospodarowanie zmieszanych odpadów komunalnych, odpadów zielonych oraz pozostałości z sortowania i pozostałości </w:t>
        <w:br/>
        <w:t>z mechaniczno-biologicznego przetwarzania odpadów komunalnych, przeznaczonych do składowania powstających na terenie gminy Pelplin.</w:t>
      </w:r>
    </w:p>
    <w:p>
      <w:pPr>
        <w:pStyle w:val="Normal"/>
        <w:spacing w:lineRule="auto" w:line="264"/>
        <w:ind w:left="260" w:hanging="0"/>
        <w:jc w:val="both"/>
        <w:rPr>
          <w:rFonts w:cs="Calibri" w:cstheme="minorHAnsi"/>
          <w:sz w:val="24"/>
          <w:szCs w:val="24"/>
        </w:rPr>
      </w:pPr>
      <w:r>
        <w:rPr>
          <w:rFonts w:eastAsia="Ebrima" w:cs="Calibri" w:cstheme="minorHAnsi"/>
          <w:sz w:val="24"/>
          <w:szCs w:val="24"/>
        </w:rPr>
        <w:t>W Regionie Wschodnim nie funkcjonują instalacje zastępcze do obsługi regionu, gdyż moce przerobowe funkcjonujących RIPOK są wystarczające do przyjęcia i przetworzenia wytwarzanych na terenie tego regionu odpadów komunalnych.</w:t>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Rolę instalacji przewidzianych do zastępczej obsługi Regionu Wschodniego Gospodarki Odpadami Komunalnymi w przypadku, gdy znajdująca się na jego obszarze instalacja regionalna ulegnie awarii lub nie będzie przyjmować odpadów z innych przyczyn, pełnią pozostałe regionalne instalacje do przetwarzania odpadów komunalnych (RIPOK),</w:t>
      </w:r>
      <w:r>
        <w:rPr>
          <w:rFonts w:eastAsia="Ebrima" w:cs="Times New Roman" w:ascii="Times New Roman" w:hAnsi="Times New Roman"/>
          <w:sz w:val="24"/>
          <w:szCs w:val="24"/>
        </w:rPr>
        <w:t xml:space="preserve"> </w:t>
      </w:r>
      <w:r>
        <w:rPr>
          <w:rFonts w:eastAsia="Ebrima" w:cs="Calibri" w:cstheme="minorHAnsi"/>
          <w:sz w:val="24"/>
          <w:szCs w:val="24"/>
        </w:rPr>
        <w:t>funkcjonujące na terenie województwa pomorskiego, z uwzględnieniem posiadanych przez te instalacje mocy przerobowych.</w:t>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r>
    </w:p>
    <w:p>
      <w:pPr>
        <w:pStyle w:val="Normal"/>
        <w:spacing w:lineRule="auto" w:line="271"/>
        <w:ind w:left="260" w:hanging="0"/>
        <w:jc w:val="both"/>
        <w:rPr>
          <w:rFonts w:eastAsia="Ebrima" w:cs="Calibri" w:cstheme="minorHAnsi"/>
          <w:b/>
          <w:b/>
          <w:bCs/>
          <w:sz w:val="24"/>
          <w:szCs w:val="24"/>
          <w:u w:val="single"/>
        </w:rPr>
      </w:pPr>
      <w:r>
        <w:rPr>
          <w:rFonts w:eastAsia="Ebrima" w:cs="Calibri" w:cstheme="minorHAnsi"/>
          <w:b/>
          <w:bCs/>
          <w:sz w:val="24"/>
          <w:szCs w:val="24"/>
          <w:u w:val="single"/>
        </w:rPr>
        <w:t>4.2 POTRZEBY INWESTYCYJNE ZWIĄZANE Z GOSPODAROWANIEM ODPADAMI KOMUNALNYMI.</w:t>
      </w:r>
    </w:p>
    <w:p>
      <w:pPr>
        <w:pStyle w:val="Normal"/>
        <w:spacing w:lineRule="auto" w:line="264"/>
        <w:ind w:left="260" w:right="20" w:hanging="0"/>
        <w:jc w:val="both"/>
        <w:rPr>
          <w:rFonts w:cs="Calibri" w:cstheme="minorHAnsi"/>
          <w:sz w:val="24"/>
          <w:szCs w:val="24"/>
        </w:rPr>
      </w:pPr>
      <w:r>
        <w:rPr>
          <w:rFonts w:eastAsia="Ebrima" w:cs="Calibri" w:cstheme="minorHAnsi"/>
          <w:sz w:val="24"/>
          <w:szCs w:val="24"/>
        </w:rPr>
        <w:t>Gospodarowanie odpadami komunalnymi obejmuje odbieranie i przetwarzanie odpadów. Przetwarzanie odpadów oznacza poddawanie ich procesom odzysku, w tym recyklingu oraz procesom unieszkodliwiania.</w:t>
      </w:r>
    </w:p>
    <w:p>
      <w:pPr>
        <w:pStyle w:val="Normal"/>
        <w:spacing w:lineRule="auto" w:line="264"/>
        <w:ind w:left="260" w:right="20" w:hanging="0"/>
        <w:jc w:val="both"/>
        <w:rPr>
          <w:rFonts w:ascii="Calibri" w:hAnsi="Calibri" w:cs="Calibri"/>
          <w:sz w:val="24"/>
          <w:szCs w:val="24"/>
        </w:rPr>
      </w:pPr>
      <w:r>
        <w:rPr>
          <w:rFonts w:eastAsia="Ebrima" w:cs="Calibri" w:cstheme="minorHAnsi"/>
          <w:sz w:val="24"/>
          <w:szCs w:val="24"/>
        </w:rPr>
        <w:t xml:space="preserve">W związku z funkcjonowaniem wymienionych w poprzednim rozdziale Regionalnych Instalacji Przetwarzania Odpadów Komunalnych, nie ma potrzeb inwestycyjnych w zakresie przetwarzanie odpadów. Moce przerobowe instalacji regionalnych, funkcjonujących </w:t>
        <w:br/>
        <w:t xml:space="preserve">w regionie będą wystarczające do przetworzenia wszystkich powstających zmieszanych odpadów komunalnych, jak i frakcji biodegradowalnej odpadów komunalnych. Zgodnie </w:t>
        <w:br/>
        <w:t xml:space="preserve">z </w:t>
      </w:r>
      <w:r>
        <w:rPr>
          <w:rFonts w:eastAsia="Ebrima" w:cs="Calibri" w:cstheme="minorHAnsi"/>
          <w:i/>
          <w:iCs/>
          <w:sz w:val="24"/>
          <w:szCs w:val="24"/>
        </w:rPr>
        <w:t>Planem Gospodarki Odpadami dla Województwa</w:t>
      </w:r>
      <w:r>
        <w:rPr>
          <w:rFonts w:eastAsia="Ebrima" w:cs="Calibri" w:cstheme="minorHAnsi"/>
          <w:sz w:val="24"/>
          <w:szCs w:val="24"/>
        </w:rPr>
        <w:t xml:space="preserve"> </w:t>
      </w:r>
      <w:r>
        <w:rPr>
          <w:rFonts w:eastAsia="Ebrima" w:cs="Calibri" w:cstheme="minorHAnsi"/>
          <w:i/>
          <w:iCs/>
          <w:sz w:val="24"/>
          <w:szCs w:val="24"/>
        </w:rPr>
        <w:t xml:space="preserve">Pomorskiego 2022 </w:t>
      </w:r>
      <w:r>
        <w:rPr>
          <w:rFonts w:eastAsia="Ebrima" w:cs="Calibri" w:cstheme="minorHAnsi"/>
          <w:sz w:val="24"/>
          <w:szCs w:val="24"/>
        </w:rPr>
        <w:t xml:space="preserve">pojemność kwater </w:t>
        <w:br/>
        <w:t>w RIPOK Gilwa Mała i RIPOK Tczew są wystarczające, aby</w:t>
      </w:r>
      <w:r>
        <w:rPr>
          <w:rFonts w:eastAsia="Ebrima" w:cs="Calibri" w:cstheme="minorHAnsi"/>
          <w:i/>
          <w:iCs/>
          <w:sz w:val="24"/>
          <w:szCs w:val="24"/>
        </w:rPr>
        <w:t xml:space="preserve"> </w:t>
      </w:r>
      <w:r>
        <w:rPr>
          <w:rFonts w:eastAsia="Ebrima" w:cs="Calibri" w:cstheme="minorHAnsi"/>
          <w:sz w:val="24"/>
          <w:szCs w:val="24"/>
        </w:rPr>
        <w:t>zeskładować</w:t>
      </w:r>
      <w:r>
        <w:rPr>
          <w:rFonts w:eastAsia="Ebrima" w:cs="Times New Roman" w:ascii="Times New Roman" w:hAnsi="Times New Roman"/>
          <w:sz w:val="24"/>
          <w:szCs w:val="24"/>
        </w:rPr>
        <w:t xml:space="preserve"> </w:t>
      </w:r>
      <w:r>
        <w:rPr>
          <w:rFonts w:eastAsia="Ebrima" w:cs="Calibri"/>
          <w:sz w:val="24"/>
          <w:szCs w:val="24"/>
        </w:rPr>
        <w:t>wytworzoną ilość odpadów. W województwie pomorskim planowane jest jedynie utworzenie Instalacji Termicznego Przekształcania Odpadów Komunalnych (ITPOK). Instalacja ta stanowić ma dopełnienie kompleksowego systemu zagospodarowania frakcji energetycznej z odpadów komunalnych, pochodzących z terenu województwa pomorskiego.</w:t>
      </w:r>
    </w:p>
    <w:p>
      <w:pPr>
        <w:pStyle w:val="Normal"/>
        <w:spacing w:lineRule="auto" w:line="271"/>
        <w:ind w:left="260" w:hanging="0"/>
        <w:jc w:val="both"/>
        <w:rPr>
          <w:rFonts w:ascii="Calibri" w:hAnsi="Calibri" w:cs="Calibri"/>
          <w:sz w:val="24"/>
          <w:szCs w:val="24"/>
        </w:rPr>
      </w:pPr>
      <w:r>
        <w:rPr>
          <w:rFonts w:eastAsia="Ebrima" w:cs="Calibri"/>
          <w:sz w:val="24"/>
          <w:szCs w:val="24"/>
        </w:rPr>
        <w:t xml:space="preserve">W odniesieniu do zagadnienia odbierania odpadów, gmina Pelplin, zgodnie z </w:t>
      </w:r>
      <w:r>
        <w:rPr>
          <w:rFonts w:eastAsia="Ebrima" w:cs="Calibri"/>
          <w:i/>
          <w:iCs/>
          <w:sz w:val="24"/>
          <w:szCs w:val="24"/>
        </w:rPr>
        <w:t>ustawą</w:t>
      </w:r>
      <w:r>
        <w:rPr>
          <w:rFonts w:eastAsia="Ebrima" w:cs="Calibri"/>
          <w:sz w:val="24"/>
          <w:szCs w:val="24"/>
        </w:rPr>
        <w:t xml:space="preserve"> </w:t>
      </w:r>
      <w:r>
        <w:rPr>
          <w:rFonts w:eastAsia="Ebrima" w:cs="Calibri"/>
          <w:i/>
          <w:iCs/>
          <w:sz w:val="24"/>
          <w:szCs w:val="24"/>
        </w:rPr>
        <w:t>z dnia 13</w:t>
      </w:r>
      <w:r>
        <w:rPr>
          <w:rFonts w:eastAsia="Ebrima" w:cs="Calibri"/>
          <w:sz w:val="24"/>
          <w:szCs w:val="24"/>
        </w:rPr>
        <w:t xml:space="preserve"> </w:t>
      </w:r>
      <w:r>
        <w:rPr>
          <w:rFonts w:eastAsia="Ebrima" w:cs="Calibri"/>
          <w:i/>
          <w:iCs/>
          <w:sz w:val="24"/>
          <w:szCs w:val="24"/>
        </w:rPr>
        <w:t>września 1996 r. o utrzymaniu czystości i porządku w gminach</w:t>
      </w:r>
      <w:r>
        <w:rPr>
          <w:rFonts w:eastAsia="Ebrima" w:cs="Calibri"/>
          <w:sz w:val="24"/>
          <w:szCs w:val="24"/>
        </w:rPr>
        <w:t>, ogłasza przetargi nieograniczone na</w:t>
      </w:r>
      <w:r>
        <w:rPr>
          <w:rFonts w:eastAsia="Ebrima" w:cs="Calibri"/>
          <w:i/>
          <w:iCs/>
          <w:sz w:val="24"/>
          <w:szCs w:val="24"/>
        </w:rPr>
        <w:t xml:space="preserve"> </w:t>
      </w:r>
      <w:r>
        <w:rPr>
          <w:rFonts w:eastAsia="Ebrima" w:cs="Calibri"/>
          <w:sz w:val="24"/>
          <w:szCs w:val="24"/>
        </w:rPr>
        <w:t>odbiór i gospodarowanie odpadami komunalnymi. Podmioty realizujące to zadanie, oprócz zapewnienia właściwego wyposażenia sprzętowego, do realizacji usługi odbioru odpadów i przekazywania ich do zagospodarowania, są także zobowiązani do dostarczenia pojemników na odpady.</w:t>
      </w:r>
    </w:p>
    <w:p>
      <w:pPr>
        <w:pStyle w:val="Normal"/>
        <w:spacing w:lineRule="auto" w:line="271"/>
        <w:ind w:left="260" w:hanging="0"/>
        <w:jc w:val="both"/>
        <w:rPr>
          <w:rFonts w:ascii="Calibri" w:hAnsi="Calibri" w:eastAsia="Ebrima" w:cs="Calibri"/>
          <w:b/>
          <w:b/>
          <w:bCs/>
          <w:color w:val="ED0000"/>
          <w:sz w:val="24"/>
          <w:szCs w:val="24"/>
        </w:rPr>
      </w:pPr>
      <w:r>
        <w:rPr>
          <w:rFonts w:eastAsia="Ebrima" w:cs="Calibri"/>
          <w:sz w:val="24"/>
          <w:szCs w:val="24"/>
        </w:rPr>
        <w:t>Obecnie w gminie Pelplin funkcjonuje Punkt Selektywnej Zbiórki Odpadów Komunalnych (PSZOK), znajdujący się w Pelplinie na terenie firmy Pelkom Sp. z o.o.,  przy ul. Starogardzkiej 12, który odbiera selektywnie zebrane odpady komunalne. W latach następnych planowana jest budowa nowego w pełni wyposażonego PSZOK-u.</w:t>
      </w:r>
    </w:p>
    <w:p>
      <w:pPr>
        <w:pStyle w:val="Normal"/>
        <w:spacing w:lineRule="auto" w:line="271"/>
        <w:ind w:left="260" w:hanging="0"/>
        <w:jc w:val="both"/>
        <w:rPr>
          <w:rFonts w:ascii="Calibri" w:hAnsi="Calibri" w:eastAsia="Ebrima" w:cs="Calibri"/>
          <w:b/>
          <w:b/>
          <w:bCs/>
          <w:color w:val="ED0000"/>
          <w:sz w:val="24"/>
          <w:szCs w:val="24"/>
        </w:rPr>
      </w:pPr>
      <w:r>
        <w:rPr>
          <w:rFonts w:eastAsia="Ebrima" w:cs="Calibri"/>
          <w:b/>
          <w:bCs/>
          <w:color w:val="ED0000"/>
          <w:sz w:val="24"/>
          <w:szCs w:val="24"/>
        </w:rPr>
      </w:r>
    </w:p>
    <w:p>
      <w:pPr>
        <w:pStyle w:val="Normal"/>
        <w:spacing w:lineRule="auto" w:line="271"/>
        <w:ind w:left="260" w:hanging="0"/>
        <w:jc w:val="both"/>
        <w:rPr>
          <w:rFonts w:ascii="Calibri" w:hAnsi="Calibri" w:eastAsia="Ebrima" w:cs="Calibri"/>
          <w:b/>
          <w:b/>
          <w:bCs/>
          <w:color w:val="ED0000"/>
          <w:sz w:val="24"/>
          <w:szCs w:val="24"/>
        </w:rPr>
      </w:pPr>
      <w:r>
        <w:rPr>
          <w:rFonts w:eastAsia="Ebrima" w:cs="Calibri"/>
          <w:b/>
          <w:bCs/>
          <w:color w:val="ED0000"/>
          <w:sz w:val="24"/>
          <w:szCs w:val="24"/>
        </w:rPr>
      </w:r>
    </w:p>
    <w:tbl>
      <w:tblPr>
        <w:tblStyle w:val="Tabela-Siatka"/>
        <w:tblW w:w="9070" w:type="dxa"/>
        <w:jc w:val="left"/>
        <w:tblInd w:w="260" w:type="dxa"/>
        <w:tblLayout w:type="fixed"/>
        <w:tblCellMar>
          <w:top w:w="0" w:type="dxa"/>
          <w:left w:w="108" w:type="dxa"/>
          <w:bottom w:w="0" w:type="dxa"/>
          <w:right w:w="108" w:type="dxa"/>
        </w:tblCellMar>
        <w:tblLook w:firstRow="1" w:noVBand="1" w:lastRow="0" w:firstColumn="1" w:lastColumn="0" w:noHBand="0" w:val="04a0"/>
      </w:tblPr>
      <w:tblGrid>
        <w:gridCol w:w="585"/>
        <w:gridCol w:w="2245"/>
        <w:gridCol w:w="946"/>
        <w:gridCol w:w="3489"/>
        <w:gridCol w:w="1805"/>
      </w:tblGrid>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Lp.</w:t>
            </w:r>
          </w:p>
        </w:tc>
        <w:tc>
          <w:tcPr>
            <w:tcW w:w="224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Frakcja odpadów</w:t>
            </w:r>
          </w:p>
        </w:tc>
        <w:tc>
          <w:tcPr>
            <w:tcW w:w="946"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Kod</w:t>
            </w:r>
          </w:p>
        </w:tc>
        <w:tc>
          <w:tcPr>
            <w:tcW w:w="3489"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Dopuszczalna ilość odpadów w ciągu roku kalendarzowego</w:t>
            </w:r>
          </w:p>
        </w:tc>
        <w:tc>
          <w:tcPr>
            <w:tcW w:w="1805" w:type="dxa"/>
            <w:tcBorders/>
          </w:tcPr>
          <w:p>
            <w:pPr>
              <w:pStyle w:val="Normal"/>
              <w:widowControl w:val="false"/>
              <w:suppressAutoHyphens w:val="true"/>
              <w:spacing w:lineRule="auto" w:line="271" w:before="0" w:after="0"/>
              <w:jc w:val="both"/>
              <w:rPr>
                <w:rFonts w:ascii="Calibri" w:hAnsi="Calibri" w:eastAsia="Ebrima" w:cs="Calibri"/>
                <w:b/>
                <w:b/>
                <w:bCs/>
                <w:color w:val="ED0000"/>
                <w:sz w:val="24"/>
                <w:szCs w:val="24"/>
              </w:rPr>
            </w:pPr>
            <w:r>
              <w:rPr>
                <w:rFonts w:eastAsia="Ebrima" w:cs="Calibri"/>
                <w:b/>
                <w:bCs/>
                <w:kern w:val="0"/>
                <w:sz w:val="24"/>
                <w:szCs w:val="24"/>
                <w:lang w:val="pl-PL" w:eastAsia="en-US" w:bidi="ar-SA"/>
              </w:rPr>
              <w:t>Cena brutto za tonę ponad dopuszczalną ilość odpadów</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Odpady wielkogabarytowe</w:t>
            </w:r>
          </w:p>
        </w:tc>
        <w:tc>
          <w:tcPr>
            <w:tcW w:w="946"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200307</w:t>
            </w:r>
          </w:p>
        </w:tc>
        <w:tc>
          <w:tcPr>
            <w:tcW w:w="3489"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do 300 kg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918,00</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2</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 xml:space="preserve">Zużyte urządzenia elektryczne i elektroniczne </w:t>
            </w:r>
          </w:p>
        </w:tc>
        <w:tc>
          <w:tcPr>
            <w:tcW w:w="946"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200136</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3</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Zużyte baterie i akumulatory inne niż przemysłowe i samochodowe</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200134</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4</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opony</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160103</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Do 4 szt. od samochodu osobowego i 2 szt. małe i 2 szt. duże od ciągnika rolniczego (1 gospodarstwo domowe)</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 xml:space="preserve">291,60 zł lub 972,00 zł (inne niż od samochodu osobowego lub ciężarowego) </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5</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Akumulatory przemysłowe i samochodowe</w:t>
            </w:r>
          </w:p>
        </w:tc>
        <w:tc>
          <w:tcPr>
            <w:tcW w:w="946"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200134</w:t>
            </w:r>
          </w:p>
        </w:tc>
        <w:tc>
          <w:tcPr>
            <w:tcW w:w="3489"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1 sztuka</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216,00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6</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Lekarstwa oraz odpady niekwalifikujące się do odpadów medycznych</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200132</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color w:val="ED0000"/>
                <w:sz w:val="24"/>
                <w:szCs w:val="24"/>
              </w:rPr>
            </w:pPr>
            <w:r>
              <w:rPr>
                <w:rFonts w:eastAsia="Ebrima" w:cs="Calibri"/>
                <w:b/>
                <w:bCs/>
                <w:kern w:val="0"/>
                <w:sz w:val="24"/>
                <w:szCs w:val="24"/>
                <w:lang w:val="pl-PL" w:eastAsia="en-US" w:bidi="ar-SA"/>
              </w:rPr>
              <w:t>7</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Tekstylia i odzież</w:t>
            </w:r>
          </w:p>
        </w:tc>
        <w:tc>
          <w:tcPr>
            <w:tcW w:w="946" w:type="dxa"/>
            <w:tcBorders/>
          </w:tcPr>
          <w:p>
            <w:pPr>
              <w:pStyle w:val="Normal"/>
              <w:widowControl w:val="false"/>
              <w:suppressAutoHyphens w:val="true"/>
              <w:spacing w:lineRule="auto" w:line="271" w:before="0" w:after="0"/>
              <w:jc w:val="both"/>
              <w:rPr>
                <w:rFonts w:ascii="Calibri" w:hAnsi="Calibri" w:eastAsia="Ebrima" w:cs="Calibri"/>
                <w:color w:val="ED0000"/>
                <w:sz w:val="24"/>
                <w:szCs w:val="24"/>
              </w:rPr>
            </w:pPr>
            <w:r>
              <w:rPr>
                <w:rFonts w:eastAsia="Ebrima" w:cs="Calibri"/>
                <w:kern w:val="0"/>
                <w:sz w:val="24"/>
                <w:szCs w:val="24"/>
                <w:lang w:val="pl-PL" w:eastAsia="en-US" w:bidi="ar-SA"/>
              </w:rPr>
              <w:t>200110</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8</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Odpady budowlane: usunięte tynki, tapety, okleiny itp.</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170180</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301,82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9</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Zmieszane odpady z betonu, gruzu ceglanego, odpadowych materiałów ceramicznych i elementów wyposażenia</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170107</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32,40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10</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Odpady innych materiałów ceramicznych i elementów wyposażenia</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170103</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16,20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11</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Gruz ceglany czysty bez domieszek</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170102</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16,20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12</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Odpady z betonu oraz gruz betonowy z rozbiórek i remontów, czysty bez domieszek</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170101</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16,20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13</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Inne niewymienione odpady</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170182</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301,82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14</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Papa odpadowa</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170380</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787,72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15</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Materiały izolacyjne</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170604</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1317,21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16</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Zmieszane odpady z budowy, remontów, demontażu, inne niż wymienione w 170901,170902 i 170903</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170904</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Łącznie wszystkie frakcje odpadów budowlanych w ilości   do 2 Mg</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334,41 zł</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17</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Papier i tektura</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150101</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18</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Szkło</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150107</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19</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Tworzywa sztuczne i metale</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150102</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20</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Odpady biodegradowalne</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200201</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r>
        <w:trPr/>
        <w:tc>
          <w:tcPr>
            <w:tcW w:w="585" w:type="dxa"/>
            <w:tcBorders/>
          </w:tcPr>
          <w:p>
            <w:pPr>
              <w:pStyle w:val="Normal"/>
              <w:widowControl w:val="false"/>
              <w:suppressAutoHyphens w:val="true"/>
              <w:spacing w:lineRule="auto" w:line="271" w:before="0" w:after="0"/>
              <w:jc w:val="both"/>
              <w:rPr>
                <w:rFonts w:ascii="Calibri" w:hAnsi="Calibri" w:eastAsia="Ebrima" w:cs="Calibri"/>
                <w:b/>
                <w:b/>
                <w:bCs/>
                <w:sz w:val="24"/>
                <w:szCs w:val="24"/>
              </w:rPr>
            </w:pPr>
            <w:r>
              <w:rPr>
                <w:rFonts w:eastAsia="Ebrima" w:cs="Calibri"/>
                <w:b/>
                <w:bCs/>
                <w:kern w:val="0"/>
                <w:sz w:val="24"/>
                <w:szCs w:val="24"/>
                <w:lang w:val="pl-PL" w:eastAsia="en-US" w:bidi="ar-SA"/>
              </w:rPr>
              <w:t>21</w:t>
            </w:r>
          </w:p>
        </w:tc>
        <w:tc>
          <w:tcPr>
            <w:tcW w:w="224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Popiół</w:t>
            </w:r>
          </w:p>
        </w:tc>
        <w:tc>
          <w:tcPr>
            <w:tcW w:w="946"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200399</w:t>
            </w:r>
          </w:p>
        </w:tc>
        <w:tc>
          <w:tcPr>
            <w:tcW w:w="3489"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Bez ograniczeń</w:t>
            </w:r>
          </w:p>
        </w:tc>
        <w:tc>
          <w:tcPr>
            <w:tcW w:w="1805" w:type="dxa"/>
            <w:tcBorders/>
          </w:tcPr>
          <w:p>
            <w:pPr>
              <w:pStyle w:val="Normal"/>
              <w:widowControl w:val="false"/>
              <w:suppressAutoHyphens w:val="true"/>
              <w:spacing w:lineRule="auto" w:line="271" w:before="0" w:after="0"/>
              <w:jc w:val="both"/>
              <w:rPr>
                <w:rFonts w:ascii="Calibri" w:hAnsi="Calibri" w:eastAsia="Ebrima" w:cs="Calibri"/>
                <w:sz w:val="24"/>
                <w:szCs w:val="24"/>
              </w:rPr>
            </w:pPr>
            <w:r>
              <w:rPr>
                <w:rFonts w:eastAsia="Ebrima" w:cs="Calibri"/>
                <w:kern w:val="0"/>
                <w:sz w:val="24"/>
                <w:szCs w:val="24"/>
                <w:lang w:val="pl-PL" w:eastAsia="en-US" w:bidi="ar-SA"/>
              </w:rPr>
              <w:t>-</w:t>
            </w:r>
          </w:p>
        </w:tc>
      </w:tr>
    </w:tbl>
    <w:p>
      <w:pPr>
        <w:pStyle w:val="Normal"/>
        <w:spacing w:lineRule="auto" w:line="271"/>
        <w:ind w:left="260" w:hanging="0"/>
        <w:jc w:val="both"/>
        <w:rPr>
          <w:rFonts w:ascii="Calibri" w:hAnsi="Calibri" w:eastAsia="Ebrima" w:cs="Calibri"/>
          <w:b/>
          <w:b/>
          <w:bCs/>
          <w:color w:val="ED0000"/>
          <w:sz w:val="24"/>
          <w:szCs w:val="24"/>
        </w:rPr>
      </w:pPr>
      <w:r>
        <w:rPr>
          <w:rFonts w:eastAsia="Ebrima" w:cs="Calibri"/>
          <w:b/>
          <w:bCs/>
          <w:color w:val="ED0000"/>
          <w:sz w:val="24"/>
          <w:szCs w:val="24"/>
        </w:rPr>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eastAsia="Ebrima" w:cs="Calibri" w:cstheme="minorHAnsi"/>
          <w:b/>
          <w:b/>
          <w:bCs/>
          <w:sz w:val="24"/>
          <w:szCs w:val="24"/>
          <w:u w:val="single"/>
        </w:rPr>
      </w:pPr>
      <w:r>
        <w:rPr>
          <w:rFonts w:eastAsia="Ebrima" w:cs="Calibri" w:cstheme="minorHAnsi"/>
          <w:b/>
          <w:bCs/>
          <w:sz w:val="24"/>
          <w:szCs w:val="24"/>
          <w:u w:val="single"/>
        </w:rPr>
        <w:t xml:space="preserve">4.3 ZESTAWIENIE KOSZTÓW PONIESIONYCH W ZWIĄZKU Z ODBIERANIEM, ODZYSKIEM, RECYKLINGIEM I UNIESZKODLIWIANIEM ODPADÓW KOMUNALNYCH. </w:t>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Z założenia koszty systemu gospodarowania odpadami komunalnymi mają być pokryte z opłat pobieranych od właścicieli nieruchomości. W przypadku, gdy wpływy nie pokrywają kosztów, wówczas gmina ma możliwość dotowania sytemu gospodarowania odpadami komunalnymi przez gminę.</w:t>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 xml:space="preserve">Opłata za gospodarowanie odpadami komunalnymi, zgodnie z art. 6r </w:t>
      </w:r>
      <w:r>
        <w:rPr>
          <w:rFonts w:eastAsia="Ebrima" w:cs="Calibri" w:cstheme="minorHAnsi"/>
          <w:i/>
          <w:sz w:val="24"/>
          <w:szCs w:val="24"/>
        </w:rPr>
        <w:t xml:space="preserve">ustawy z dnia 13 września 1996 r. o utrzymaniu czystości i porządku w gminach, </w:t>
      </w:r>
      <w:r>
        <w:rPr>
          <w:rFonts w:eastAsia="Ebrima" w:cs="Calibri" w:cstheme="minorHAnsi"/>
          <w:sz w:val="24"/>
          <w:szCs w:val="24"/>
        </w:rPr>
        <w:t>stanowi dochód gminy. Pozyskane przez gminę środki nie mogą być wykorzystywane na cele niezwiązane z pokrywaniem kosztów funkcjonowania systemu gospodarowania odpadami.</w:t>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Na koszty funkcjonowania systemu gospodarowania odpadami komunalnymi składają się głównie: odbiór, transport, odzysk i unieszkodliwianie odpadów komunalnych oraz obsługa Punktu Selektywnej Zbiórki Odpadów Komunalnych.</w:t>
      </w:r>
    </w:p>
    <w:p>
      <w:pPr>
        <w:pStyle w:val="Normal"/>
        <w:spacing w:lineRule="auto" w:line="271"/>
        <w:ind w:left="260" w:hanging="0"/>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ind w:left="260" w:hanging="0"/>
        <w:jc w:val="both"/>
        <w:rPr>
          <w:rFonts w:eastAsia="Ebrima" w:cs="Calibri" w:cstheme="minorHAnsi"/>
          <w:sz w:val="24"/>
          <w:szCs w:val="24"/>
        </w:rPr>
      </w:pPr>
      <w:r>
        <w:rPr>
          <w:rFonts w:eastAsia="Ebrima" w:cs="Calibri" w:cstheme="minorHAnsi"/>
          <w:sz w:val="24"/>
          <w:szCs w:val="24"/>
        </w:rPr>
        <w:t>Koszty poniesione przez gminę Pelplin w związku z gospodarowaniem odpadami komunalnymi w 2024 r. zostały przedstawione poniżej:</w:t>
      </w:r>
    </w:p>
    <w:p>
      <w:pPr>
        <w:pStyle w:val="ListParagraph"/>
        <w:numPr>
          <w:ilvl w:val="0"/>
          <w:numId w:val="3"/>
        </w:numPr>
        <w:spacing w:lineRule="auto" w:line="271"/>
        <w:jc w:val="both"/>
        <w:rPr>
          <w:rFonts w:eastAsia="Ebrima" w:cs="Calibri" w:cstheme="minorHAnsi"/>
          <w:sz w:val="24"/>
          <w:szCs w:val="24"/>
        </w:rPr>
      </w:pPr>
      <w:r>
        <w:rPr>
          <w:rFonts w:eastAsia="Ebrima" w:cs="Calibri" w:cstheme="minorHAnsi"/>
          <w:sz w:val="24"/>
          <w:szCs w:val="24"/>
        </w:rPr>
        <w:t>Koszt systemu odbioru, transportu i zagospodarowania odpadów komunalnych – 3 567 582,98 zł.</w:t>
      </w:r>
    </w:p>
    <w:p>
      <w:pPr>
        <w:pStyle w:val="ListParagraph"/>
        <w:numPr>
          <w:ilvl w:val="0"/>
          <w:numId w:val="3"/>
        </w:numPr>
        <w:spacing w:lineRule="auto" w:line="271"/>
        <w:jc w:val="both"/>
        <w:rPr>
          <w:rFonts w:eastAsia="Ebrima" w:cs="Calibri" w:cstheme="minorHAnsi"/>
          <w:sz w:val="24"/>
          <w:szCs w:val="24"/>
        </w:rPr>
      </w:pPr>
      <w:r>
        <w:rPr>
          <w:rFonts w:eastAsia="Ebrima" w:cs="Calibri" w:cstheme="minorHAnsi"/>
          <w:sz w:val="24"/>
          <w:szCs w:val="24"/>
        </w:rPr>
        <w:t>Koszt obsługi systemu ( deklaracje, przesyłki listowe, oprogramowanie, licencje, wynagrodzenia pracowników ) – 202 621,14 zł.</w:t>
      </w:r>
    </w:p>
    <w:p>
      <w:pPr>
        <w:pStyle w:val="ListParagraph"/>
        <w:numPr>
          <w:ilvl w:val="0"/>
          <w:numId w:val="3"/>
        </w:numPr>
        <w:spacing w:lineRule="auto" w:line="271" w:before="0" w:after="0"/>
        <w:contextualSpacing/>
        <w:jc w:val="both"/>
        <w:rPr>
          <w:rFonts w:cs="Calibri" w:cstheme="minorHAnsi"/>
          <w:b/>
          <w:b/>
          <w:bCs/>
          <w:color w:val="595959"/>
          <w:sz w:val="24"/>
          <w:szCs w:val="24"/>
        </w:rPr>
      </w:pPr>
      <w:r>
        <w:rPr>
          <w:rFonts w:eastAsia="Ebrima" w:cs="Calibri" w:cstheme="minorHAnsi"/>
          <w:sz w:val="24"/>
          <w:szCs w:val="24"/>
        </w:rPr>
        <w:t xml:space="preserve">Prowadzenie Punktu Selektywnej Zbiórki Odpadów Komunalnych oraz wywóz </w:t>
        <w:br/>
        <w:t xml:space="preserve">i utylizacja odpadów odebranych w PSZOK – 672 956,33 zł. </w:t>
      </w:r>
    </w:p>
    <w:p>
      <w:pPr>
        <w:pStyle w:val="ListParagraph"/>
        <w:numPr>
          <w:ilvl w:val="0"/>
          <w:numId w:val="3"/>
        </w:numPr>
        <w:spacing w:lineRule="auto" w:line="271" w:before="0" w:after="0"/>
        <w:contextualSpacing/>
        <w:jc w:val="both"/>
        <w:rPr>
          <w:rFonts w:cs="Calibri" w:cstheme="minorHAnsi"/>
          <w:b/>
          <w:b/>
          <w:bCs/>
          <w:color w:val="595959"/>
          <w:sz w:val="24"/>
          <w:szCs w:val="24"/>
        </w:rPr>
      </w:pPr>
      <w:r>
        <w:rPr>
          <w:rFonts w:eastAsia="Ebrima" w:cs="Calibri" w:cstheme="minorHAnsi"/>
          <w:sz w:val="24"/>
          <w:szCs w:val="24"/>
        </w:rPr>
        <w:t xml:space="preserve">Zbiórka odpadów wielkogabarytowych i elektrośmieci (odbiór i utylizacja) – 100 063,33 zł. </w:t>
      </w:r>
    </w:p>
    <w:p>
      <w:pPr>
        <w:pStyle w:val="ListParagraph"/>
        <w:numPr>
          <w:ilvl w:val="0"/>
          <w:numId w:val="3"/>
        </w:numPr>
        <w:spacing w:lineRule="auto" w:line="271"/>
        <w:jc w:val="both"/>
        <w:rPr>
          <w:rFonts w:eastAsia="Ebrima" w:cs="Calibri" w:cstheme="minorHAnsi"/>
          <w:sz w:val="24"/>
          <w:szCs w:val="24"/>
        </w:rPr>
      </w:pPr>
      <w:r>
        <w:rPr>
          <w:rFonts w:eastAsia="Ebrima" w:cs="Calibri" w:cstheme="minorHAnsi"/>
          <w:sz w:val="24"/>
          <w:szCs w:val="24"/>
        </w:rPr>
        <w:t>Całkowity koszt funkcjonowania systemu gospodarowania odpadami w gminie Pelplin w 2024 r. wyniósł – 4 543 223,78 zł.</w:t>
      </w:r>
    </w:p>
    <w:p>
      <w:pPr>
        <w:pStyle w:val="Normal"/>
        <w:spacing w:lineRule="auto" w:line="271"/>
        <w:jc w:val="both"/>
        <w:rPr>
          <w:rFonts w:ascii="Times New Roman" w:hAnsi="Times New Roman" w:eastAsia="Ebrima" w:cs="Times New Roman"/>
          <w:sz w:val="24"/>
          <w:szCs w:val="24"/>
        </w:rPr>
      </w:pPr>
      <w:r>
        <w:rPr>
          <w:rFonts w:eastAsia="Ebrima" w:cs="Times New Roman" w:ascii="Times New Roman" w:hAnsi="Times New Roman"/>
          <w:sz w:val="24"/>
          <w:szCs w:val="24"/>
        </w:rPr>
      </w:r>
    </w:p>
    <w:p>
      <w:pPr>
        <w:pStyle w:val="Normal"/>
        <w:spacing w:lineRule="auto" w:line="271"/>
        <w:jc w:val="both"/>
        <w:rPr>
          <w:rFonts w:eastAsia="Ebrima" w:cs="Calibri" w:cstheme="minorHAnsi"/>
          <w:b/>
          <w:b/>
          <w:bCs/>
          <w:sz w:val="24"/>
          <w:szCs w:val="24"/>
          <w:u w:val="single"/>
        </w:rPr>
      </w:pPr>
      <w:r>
        <w:rPr>
          <w:rFonts w:eastAsia="Ebrima" w:cs="Calibri" w:cstheme="minorHAnsi"/>
          <w:b/>
          <w:bCs/>
          <w:sz w:val="24"/>
          <w:szCs w:val="24"/>
          <w:u w:val="single"/>
        </w:rPr>
        <w:t>4.4 LICZBA MIESZKAŃCÓW</w:t>
      </w:r>
    </w:p>
    <w:p>
      <w:pPr>
        <w:pStyle w:val="Normal"/>
        <w:spacing w:lineRule="auto" w:line="271"/>
        <w:jc w:val="both"/>
        <w:rPr>
          <w:rFonts w:eastAsia="Ebrima" w:cs="Calibri" w:cstheme="minorHAnsi"/>
          <w:sz w:val="24"/>
          <w:szCs w:val="24"/>
        </w:rPr>
      </w:pPr>
      <w:r>
        <w:rPr>
          <w:rFonts w:eastAsia="Ebrima" w:cs="Calibri" w:cstheme="minorHAnsi"/>
          <w:sz w:val="24"/>
          <w:szCs w:val="24"/>
        </w:rPr>
        <w:t>Zgodnie z danymi z rejestru mieszkańców według stanu na dzień 31 grudnia 2023 r. w gminie Pelplin liczba mieszkańców wynosiła 1</w:t>
      </w:r>
      <w:r>
        <w:rPr>
          <w:rFonts w:eastAsia="Ebrima" w:cs="Calibri" w:cstheme="minorHAnsi"/>
          <w:color w:val="000000"/>
          <w:sz w:val="24"/>
          <w:szCs w:val="24"/>
        </w:rPr>
        <w:t>5 0</w:t>
      </w:r>
      <w:r>
        <w:rPr>
          <w:rFonts w:eastAsia="Ebrima" w:cs="Calibri" w:cstheme="minorHAnsi"/>
          <w:color w:val="000000"/>
          <w:sz w:val="24"/>
          <w:szCs w:val="24"/>
        </w:rPr>
        <w:t>95</w:t>
      </w:r>
      <w:r>
        <w:rPr>
          <w:rFonts w:eastAsia="Ebrima" w:cs="Calibri" w:cstheme="minorHAnsi"/>
          <w:color w:val="000000"/>
          <w:sz w:val="24"/>
          <w:szCs w:val="24"/>
        </w:rPr>
        <w:t xml:space="preserve"> </w:t>
      </w:r>
      <w:r>
        <w:rPr>
          <w:rFonts w:eastAsia="Ebrima" w:cs="Calibri" w:cstheme="minorHAnsi"/>
          <w:sz w:val="24"/>
          <w:szCs w:val="24"/>
        </w:rPr>
        <w:t>osoby, w tym</w:t>
      </w:r>
      <w:r>
        <w:rPr>
          <w:rFonts w:eastAsia="Ebrima" w:cs="Calibri" w:cstheme="minorHAnsi"/>
          <w:color w:val="FF0000"/>
          <w:sz w:val="24"/>
          <w:szCs w:val="24"/>
        </w:rPr>
        <w:t xml:space="preserve"> </w:t>
      </w:r>
      <w:r>
        <w:rPr>
          <w:rFonts w:eastAsia="Ebrima" w:cs="Calibri" w:cstheme="minorHAnsi"/>
          <w:color w:val="000000"/>
          <w:sz w:val="24"/>
          <w:szCs w:val="24"/>
        </w:rPr>
        <w:t>68</w:t>
      </w:r>
      <w:r>
        <w:rPr>
          <w:rFonts w:eastAsia="Ebrima" w:cs="Calibri" w:cstheme="minorHAnsi"/>
          <w:color w:val="000000"/>
          <w:sz w:val="24"/>
          <w:szCs w:val="24"/>
        </w:rPr>
        <w:t>94</w:t>
      </w:r>
      <w:r>
        <w:rPr>
          <w:rFonts w:eastAsia="Ebrima" w:cs="Calibri" w:cstheme="minorHAnsi"/>
          <w:sz w:val="24"/>
          <w:szCs w:val="24"/>
        </w:rPr>
        <w:t xml:space="preserve"> zamieszkujących teren miasta </w:t>
        <w:br/>
        <w:t xml:space="preserve">i </w:t>
      </w:r>
      <w:r>
        <w:rPr>
          <w:rFonts w:eastAsia="Ebrima" w:cs="Calibri" w:cstheme="minorHAnsi"/>
          <w:color w:val="000000"/>
          <w:sz w:val="24"/>
          <w:szCs w:val="24"/>
        </w:rPr>
        <w:t>82</w:t>
      </w:r>
      <w:r>
        <w:rPr>
          <w:rFonts w:eastAsia="Ebrima" w:cs="Calibri" w:cstheme="minorHAnsi"/>
          <w:color w:val="000000"/>
          <w:sz w:val="24"/>
          <w:szCs w:val="24"/>
        </w:rPr>
        <w:t>01</w:t>
      </w:r>
      <w:r>
        <w:rPr>
          <w:rFonts w:eastAsia="Ebrima" w:cs="Calibri" w:cstheme="minorHAnsi"/>
          <w:sz w:val="24"/>
          <w:szCs w:val="24"/>
        </w:rPr>
        <w:t xml:space="preserve"> zamieszkujących tereny wiejskie.</w:t>
      </w:r>
    </w:p>
    <w:p>
      <w:pPr>
        <w:pStyle w:val="Normal"/>
        <w:spacing w:lineRule="auto" w:line="271"/>
        <w:jc w:val="both"/>
        <w:rPr>
          <w:rFonts w:eastAsia="Ebrima" w:cs="Calibri" w:cstheme="minorHAnsi"/>
          <w:sz w:val="24"/>
          <w:szCs w:val="24"/>
        </w:rPr>
      </w:pPr>
      <w:r>
        <w:rPr>
          <w:rFonts w:eastAsia="Ebrima" w:cs="Calibri" w:cstheme="minorHAnsi"/>
          <w:sz w:val="24"/>
          <w:szCs w:val="24"/>
        </w:rPr>
        <w:t xml:space="preserve">Wyznaczona według danych z deklaracji o wysokości opłaty za gospodarowanie odpadami liczba mieszkańców wynosiła </w:t>
      </w:r>
      <w:r>
        <w:rPr>
          <w:rFonts w:eastAsia="Ebrima" w:cs="Calibri" w:cstheme="minorHAnsi"/>
          <w:color w:val="000000"/>
          <w:sz w:val="24"/>
          <w:szCs w:val="24"/>
        </w:rPr>
        <w:t>11 418</w:t>
      </w:r>
      <w:r>
        <w:rPr>
          <w:rFonts w:eastAsia="Ebrima" w:cs="Calibri" w:cstheme="minorHAnsi"/>
          <w:sz w:val="24"/>
          <w:szCs w:val="24"/>
        </w:rPr>
        <w:t xml:space="preserve"> osób.</w:t>
      </w:r>
    </w:p>
    <w:p>
      <w:pPr>
        <w:pStyle w:val="Normal"/>
        <w:spacing w:lineRule="auto" w:line="271"/>
        <w:jc w:val="both"/>
        <w:rPr>
          <w:rFonts w:eastAsia="Ebrima" w:cs="Calibri" w:cstheme="minorHAnsi"/>
          <w:sz w:val="24"/>
          <w:szCs w:val="24"/>
        </w:rPr>
      </w:pPr>
      <w:r>
        <w:rPr>
          <w:rFonts w:eastAsia="Ebrima" w:cs="Calibri" w:cstheme="minorHAnsi"/>
          <w:sz w:val="24"/>
          <w:szCs w:val="24"/>
        </w:rPr>
        <w:t xml:space="preserve">Występowanie różnicy w deklarowanej liczbie mieszkańców i liczbie mieszkańców, wynikającej z rejestru prowadzonego przez Urząd Miasta i Gminy Pelplin jest skutkiem co najmniej kilku czynników, m.in.: emigracji zarobkowej – często poza granice państwa, emigracji związanej </w:t>
        <w:br/>
        <w:t>z nauką, pracą w delegacji i niestety także umyślnego unikania składania deklaracji lub zaniżania liczby mieszkańców, w celu uniknięcia lub obniżenia wysokości opłaty.</w:t>
      </w:r>
    </w:p>
    <w:p>
      <w:pPr>
        <w:pStyle w:val="Normal"/>
        <w:spacing w:lineRule="auto" w:line="271"/>
        <w:jc w:val="both"/>
        <w:rPr>
          <w:rFonts w:eastAsia="Ebrima" w:cs="Calibri" w:cstheme="minorHAnsi"/>
          <w:sz w:val="24"/>
          <w:szCs w:val="24"/>
        </w:rPr>
      </w:pPr>
      <w:r>
        <w:rPr>
          <w:rFonts w:eastAsia="Ebrima" w:cs="Calibri" w:cstheme="minorHAnsi"/>
          <w:sz w:val="24"/>
          <w:szCs w:val="24"/>
        </w:rPr>
        <w:t>Na bieżąco prowadzone są działania mające na celu weryfikację danych zawartych w deklaracjach i sprawdzenie ich ze stanem faktycznym.</w:t>
      </w:r>
    </w:p>
    <w:p>
      <w:pPr>
        <w:pStyle w:val="Normal"/>
        <w:spacing w:lineRule="auto" w:line="271"/>
        <w:jc w:val="both"/>
        <w:rPr>
          <w:rFonts w:eastAsia="Ebrima" w:cs="Calibri" w:cstheme="minorHAnsi"/>
          <w:sz w:val="24"/>
          <w:szCs w:val="24"/>
          <w:u w:val="single"/>
        </w:rPr>
      </w:pPr>
      <w:r>
        <w:rPr>
          <w:rFonts w:eastAsia="Ebrima" w:cs="Calibri" w:cstheme="minorHAnsi"/>
          <w:sz w:val="24"/>
          <w:szCs w:val="24"/>
          <w:u w:val="single"/>
        </w:rPr>
      </w:r>
    </w:p>
    <w:p>
      <w:pPr>
        <w:pStyle w:val="Normal"/>
        <w:spacing w:lineRule="auto" w:line="271"/>
        <w:jc w:val="both"/>
        <w:rPr>
          <w:rFonts w:eastAsia="Ebrima" w:cs="Calibri" w:cstheme="minorHAnsi"/>
          <w:b/>
          <w:b/>
          <w:bCs/>
          <w:sz w:val="24"/>
          <w:szCs w:val="24"/>
          <w:u w:val="single"/>
        </w:rPr>
      </w:pPr>
      <w:r>
        <w:rPr>
          <w:rFonts w:eastAsia="Ebrima" w:cs="Calibri" w:cstheme="minorHAnsi"/>
          <w:b/>
          <w:bCs/>
          <w:sz w:val="24"/>
          <w:szCs w:val="24"/>
          <w:u w:val="single"/>
        </w:rPr>
        <w:t>4.5 LICZBA WŁAŚCICIELI NIERUCHOMOŚCI, KTÓRZY NIE ZAWARLI UMOWY, O KTÓREJ MOWA W ART. 6 UST. 1, W IMIENIU KTÓRYCH GMINA POWINNA PODJĄĆ DZIAŁANIA, O KTÓRYCH MOWA W ART..6. UST. 6 -12.</w:t>
      </w:r>
    </w:p>
    <w:p>
      <w:pPr>
        <w:pStyle w:val="Normal"/>
        <w:spacing w:lineRule="auto" w:line="271"/>
        <w:jc w:val="both"/>
        <w:rPr>
          <w:rFonts w:eastAsia="Ebrima" w:cs="Calibri" w:cstheme="minorHAnsi"/>
          <w:sz w:val="24"/>
          <w:szCs w:val="24"/>
        </w:rPr>
      </w:pPr>
      <w:r>
        <w:rPr>
          <w:rFonts w:eastAsia="Ebrima" w:cs="Calibri" w:cstheme="minorHAnsi"/>
          <w:sz w:val="24"/>
          <w:szCs w:val="24"/>
        </w:rPr>
        <w:t xml:space="preserve">Na podstawie art. 6 </w:t>
      </w:r>
      <w:r>
        <w:rPr>
          <w:rFonts w:eastAsia="Ebrima" w:cs="Calibri" w:cstheme="minorHAnsi"/>
          <w:i/>
          <w:sz w:val="24"/>
          <w:szCs w:val="24"/>
        </w:rPr>
        <w:t xml:space="preserve">ustawy z dnia 13 września 1996 r. o utrzymaniu czystości i porządku </w:t>
        <w:br/>
        <w:t xml:space="preserve">w gminach </w:t>
      </w:r>
      <w:r>
        <w:rPr>
          <w:rFonts w:eastAsia="Ebrima" w:cs="Calibri" w:cstheme="minorHAnsi"/>
          <w:sz w:val="24"/>
          <w:szCs w:val="24"/>
        </w:rPr>
        <w:t>właściciele nieruchomości, którzy nie są obowiązani do opłat za gospodarowanie odpadami komunalnymi na rzecz gminy, mają obowiązek zgodnie z art. 5 ust. 1 pkt 3b ww. ustawy pozbywać się zebranych na terenie nieruchomości odpadów komunalnych. W związku z tym właściciele są zobowiązani posiadać umowę oraz dowody uiszczania opłat za usługi, których dostawcą jest gminna jednostka organizacyjna lub przedsiębiorca odbierający odpady komunalne od właścicieli nieruchomości.</w:t>
      </w:r>
    </w:p>
    <w:p>
      <w:pPr>
        <w:pStyle w:val="Normal"/>
        <w:spacing w:lineRule="auto" w:line="271"/>
        <w:jc w:val="both"/>
        <w:rPr>
          <w:rFonts w:eastAsia="Ebrima" w:cs="Calibri" w:cstheme="minorHAnsi"/>
          <w:sz w:val="24"/>
          <w:szCs w:val="24"/>
        </w:rPr>
      </w:pPr>
      <w:r>
        <w:rPr>
          <w:rFonts w:eastAsia="Ebrima" w:cs="Calibri" w:cstheme="minorHAnsi"/>
          <w:sz w:val="24"/>
          <w:szCs w:val="24"/>
        </w:rPr>
        <w:t xml:space="preserve">Gmina na podstawie art. 3 ust. 3 ww. ustawy ma obowiązek prowadzić rejestr umów zawartych na odbieranie odpadów komunalnych od właścicieli nieruchomości, w celu kontroli wykonywania przez właścicieli nieruchomości i przedsiębiorców obowiązków wynikających z tejże ustawy. </w:t>
        <w:br/>
        <w:t xml:space="preserve">W przypadku właścicieli, którzy nie zawarli wyżej opisanej umowy, Gmina ma obowiązek zorganizować odbiór odpadów komunalnych, na podstawie decyzji wydanej przez Burmistrza, </w:t>
        <w:br/>
        <w:t xml:space="preserve">w której jest ustalona wysokość opłat z zastosowaniem górnych stawek opłat określonych </w:t>
        <w:br/>
        <w:t>w uchwale Rady Miejskiej, a także terminy uiszczania opłat, sposób i terminy udostępniania pojemników. Decyzji nadaje się rygor natychmiastowej wykonalności. Obowiązuje ona przez rok i ulega przedłużeniu na kolejny okres, jeśli właściciel, na co najmniej 3 miesiące przed końcem obowiązywania decyzji nie przedstawił umowy, zgodnie z którą rozpoczęcie wykonywania usługi nastąpi nie później niż data utraty mocy obowiązującej decyzji.</w:t>
      </w:r>
    </w:p>
    <w:p>
      <w:pPr>
        <w:pStyle w:val="Normal"/>
        <w:spacing w:lineRule="auto" w:line="271"/>
        <w:jc w:val="both"/>
        <w:rPr>
          <w:rFonts w:ascii="Times New Roman" w:hAnsi="Times New Roman" w:eastAsia="Ebrima" w:cs="Times New Roman"/>
          <w:b/>
          <w:b/>
          <w:sz w:val="24"/>
          <w:szCs w:val="24"/>
        </w:rPr>
      </w:pPr>
      <w:r>
        <w:rPr>
          <w:rFonts w:eastAsia="Ebrima" w:cs="Times New Roman" w:ascii="Times New Roman" w:hAnsi="Times New Roman"/>
          <w:b/>
          <w:sz w:val="24"/>
          <w:szCs w:val="24"/>
        </w:rPr>
      </w:r>
    </w:p>
    <w:p>
      <w:pPr>
        <w:pStyle w:val="Normal"/>
        <w:spacing w:lineRule="auto" w:line="271"/>
        <w:jc w:val="both"/>
        <w:rPr>
          <w:rFonts w:eastAsia="Ebrima" w:cs="Calibri" w:cstheme="minorHAnsi"/>
          <w:b/>
          <w:b/>
          <w:sz w:val="24"/>
          <w:szCs w:val="24"/>
        </w:rPr>
      </w:pPr>
      <w:r>
        <w:rPr>
          <w:rFonts w:eastAsia="Ebrima" w:cs="Times New Roman" w:ascii="Times New Roman" w:hAnsi="Times New Roman"/>
          <w:b/>
          <w:sz w:val="24"/>
          <w:szCs w:val="24"/>
        </w:rPr>
        <w:t xml:space="preserve">V. </w:t>
      </w:r>
      <w:r>
        <w:rPr>
          <w:rFonts w:eastAsia="Ebrima" w:cs="Calibri" w:cstheme="minorHAnsi"/>
          <w:b/>
          <w:sz w:val="24"/>
          <w:szCs w:val="24"/>
        </w:rPr>
        <w:t>ILOŚĆ ODPADÓW KOMUNALNYCH WYTWORZONYCH NA TERENIE GMINY PELPLIN W 202</w:t>
      </w:r>
      <w:r>
        <w:rPr>
          <w:rFonts w:eastAsia="Ebrima" w:cs="Calibri" w:cstheme="minorHAnsi"/>
          <w:b/>
          <w:sz w:val="24"/>
          <w:szCs w:val="24"/>
        </w:rPr>
        <w:t>4</w:t>
      </w:r>
      <w:r>
        <w:rPr>
          <w:rFonts w:eastAsia="Ebrima" w:cs="Calibri" w:cstheme="minorHAnsi"/>
          <w:b/>
          <w:sz w:val="24"/>
          <w:szCs w:val="24"/>
        </w:rPr>
        <w:t xml:space="preserve"> R.</w:t>
      </w:r>
    </w:p>
    <w:p>
      <w:pPr>
        <w:pStyle w:val="Normal"/>
        <w:spacing w:lineRule="auto" w:line="271"/>
        <w:jc w:val="both"/>
        <w:rPr>
          <w:rFonts w:eastAsia="Ebrima" w:cs="Calibri" w:cstheme="minorHAnsi"/>
          <w:b/>
          <w:b/>
          <w:bCs/>
          <w:sz w:val="24"/>
          <w:szCs w:val="24"/>
          <w:u w:val="single"/>
        </w:rPr>
      </w:pPr>
      <w:r>
        <w:rPr>
          <w:rFonts w:eastAsia="Ebrima" w:cs="Calibri" w:cstheme="minorHAnsi"/>
          <w:b/>
          <w:bCs/>
          <w:sz w:val="24"/>
          <w:szCs w:val="24"/>
          <w:u w:val="single"/>
        </w:rPr>
        <w:t>5.1 ODPADY KOMUNALNE ZEBRANE W PUNKCIE SELEKTYWNEJ ZBIÓRKI ODPADÓW KOMUNALNYCH W 2024 R.</w:t>
      </w:r>
    </w:p>
    <w:tbl>
      <w:tblPr>
        <w:tblStyle w:val="Tabela-Siatka"/>
        <w:tblW w:w="93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8"/>
        <w:gridCol w:w="3118"/>
        <w:gridCol w:w="3118"/>
      </w:tblGrid>
      <w:tr>
        <w:trPr>
          <w:trHeight w:val="357" w:hRule="atLeast"/>
        </w:trPr>
        <w:tc>
          <w:tcPr>
            <w:tcW w:w="3118" w:type="dxa"/>
            <w:tcBorders/>
          </w:tcPr>
          <w:p>
            <w:pPr>
              <w:pStyle w:val="Normal"/>
              <w:widowControl w:val="false"/>
              <w:suppressAutoHyphens w:val="true"/>
              <w:spacing w:lineRule="auto" w:line="271" w:before="0" w:after="0"/>
              <w:jc w:val="both"/>
              <w:rPr>
                <w:rFonts w:cs="Calibri" w:cstheme="minorHAnsi"/>
                <w:sz w:val="24"/>
                <w:szCs w:val="24"/>
                <w:u w:val="single"/>
              </w:rPr>
            </w:pPr>
            <w:r>
              <w:rPr>
                <w:rFonts w:eastAsia="Calibri" w:cs="Calibri" w:cstheme="minorHAnsi"/>
                <w:kern w:val="0"/>
                <w:sz w:val="24"/>
                <w:szCs w:val="24"/>
                <w:u w:val="single"/>
                <w:lang w:val="pl-PL" w:eastAsia="en-US" w:bidi="ar-SA"/>
              </w:rPr>
              <w:t>Kod odebranych odpadów</w:t>
            </w:r>
          </w:p>
        </w:tc>
        <w:tc>
          <w:tcPr>
            <w:tcW w:w="3118" w:type="dxa"/>
            <w:tcBorders/>
          </w:tcPr>
          <w:p>
            <w:pPr>
              <w:pStyle w:val="Normal"/>
              <w:widowControl w:val="false"/>
              <w:suppressAutoHyphens w:val="true"/>
              <w:spacing w:lineRule="auto" w:line="271" w:before="0" w:after="0"/>
              <w:jc w:val="both"/>
              <w:rPr>
                <w:rFonts w:cs="Calibri" w:cstheme="minorHAnsi"/>
                <w:sz w:val="24"/>
                <w:szCs w:val="24"/>
                <w:u w:val="single"/>
              </w:rPr>
            </w:pPr>
            <w:r>
              <w:rPr>
                <w:rFonts w:eastAsia="Calibri" w:cs="Calibri" w:cstheme="minorHAnsi"/>
                <w:kern w:val="0"/>
                <w:sz w:val="24"/>
                <w:szCs w:val="24"/>
                <w:u w:val="single"/>
                <w:lang w:val="pl-PL" w:eastAsia="en-US" w:bidi="ar-SA"/>
              </w:rPr>
              <w:t>Rodzaj odebranych odpadów</w:t>
            </w:r>
          </w:p>
        </w:tc>
        <w:tc>
          <w:tcPr>
            <w:tcW w:w="3118" w:type="dxa"/>
            <w:tcBorders/>
          </w:tcPr>
          <w:p>
            <w:pPr>
              <w:pStyle w:val="Normal"/>
              <w:widowControl w:val="false"/>
              <w:suppressAutoHyphens w:val="true"/>
              <w:spacing w:lineRule="auto" w:line="271" w:before="0" w:after="0"/>
              <w:jc w:val="both"/>
              <w:rPr>
                <w:rFonts w:cs="Calibri" w:cstheme="minorHAnsi"/>
                <w:sz w:val="24"/>
                <w:szCs w:val="24"/>
                <w:u w:val="single"/>
              </w:rPr>
            </w:pPr>
            <w:r>
              <w:rPr>
                <w:rFonts w:eastAsia="Calibri" w:cs="Calibri" w:cstheme="minorHAnsi"/>
                <w:kern w:val="0"/>
                <w:sz w:val="24"/>
                <w:szCs w:val="24"/>
                <w:u w:val="single"/>
                <w:lang w:val="pl-PL" w:eastAsia="en-US" w:bidi="ar-SA"/>
              </w:rPr>
              <w:t>Masa zebranych odpadów (Mg)</w:t>
            </w:r>
          </w:p>
        </w:tc>
      </w:tr>
      <w:tr>
        <w:trPr>
          <w:trHeight w:val="348"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15 01 01</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Opakowania z papieru i tektury</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20,047</w:t>
            </w:r>
          </w:p>
        </w:tc>
      </w:tr>
      <w:tr>
        <w:trPr>
          <w:trHeight w:val="178"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15 01 07</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Opakowania ze szkła</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7,551</w:t>
            </w:r>
          </w:p>
        </w:tc>
      </w:tr>
      <w:tr>
        <w:trPr>
          <w:trHeight w:val="527"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17 03 80</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Odpadowa papa</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16,334</w:t>
            </w:r>
          </w:p>
        </w:tc>
      </w:tr>
      <w:tr>
        <w:trPr>
          <w:trHeight w:val="170"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 xml:space="preserve">17 02 03 </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Tworzywa sztuczne</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49,196</w:t>
            </w:r>
          </w:p>
        </w:tc>
      </w:tr>
      <w:tr>
        <w:trPr>
          <w:trHeight w:val="178"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17 06 04</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Materiały izolacyjne inne niż wymienione w 17 06 01 i 17 06 03</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12,422</w:t>
            </w:r>
          </w:p>
        </w:tc>
      </w:tr>
      <w:tr>
        <w:trPr>
          <w:trHeight w:val="357"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17 09 04</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Zmieszane odpady z budowy, remontów i demontażu inne niż wymienione w 17 09 01, 17 09 02 i 17 09 03</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86,986</w:t>
            </w:r>
          </w:p>
        </w:tc>
      </w:tr>
      <w:tr>
        <w:trPr>
          <w:trHeight w:val="178"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 xml:space="preserve">20 01 11 </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Tekstylia</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14,882</w:t>
            </w:r>
          </w:p>
        </w:tc>
      </w:tr>
      <w:tr>
        <w:trPr>
          <w:trHeight w:val="884"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20 01 34</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Baterie i akumulatory inne niż wymienione w 20 01 33</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0,172</w:t>
            </w:r>
          </w:p>
        </w:tc>
      </w:tr>
      <w:tr>
        <w:trPr>
          <w:trHeight w:val="357"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20 01 36</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 xml:space="preserve">Zużyte urządzenia elektryczne i elektroniczne </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21,491</w:t>
            </w:r>
          </w:p>
        </w:tc>
      </w:tr>
      <w:tr>
        <w:trPr>
          <w:trHeight w:val="170"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20 02 01</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Odpady ulegające biodegradacji</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174,921</w:t>
            </w:r>
          </w:p>
        </w:tc>
      </w:tr>
      <w:tr>
        <w:trPr>
          <w:trHeight w:val="535"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16 01 03</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Zużyte opony</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22,688</w:t>
            </w:r>
          </w:p>
        </w:tc>
      </w:tr>
      <w:tr>
        <w:trPr>
          <w:trHeight w:val="535"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l-PL" w:eastAsia="en-US" w:bidi="ar-SA"/>
              </w:rPr>
              <w:t>20 03 99</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Odpady komunalne niewymienione w innych podgrupach</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0,58</w:t>
            </w:r>
          </w:p>
        </w:tc>
      </w:tr>
      <w:tr>
        <w:trPr>
          <w:trHeight w:val="535"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l-PL" w:eastAsia="en-US" w:bidi="ar-SA"/>
              </w:rPr>
              <w:t>20 01 32</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Leki inne niż wymienione w 20 01 31</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0,243</w:t>
            </w:r>
          </w:p>
        </w:tc>
      </w:tr>
      <w:tr>
        <w:trPr>
          <w:trHeight w:val="535" w:hRule="atLeast"/>
        </w:trPr>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highlight w:val="yellow"/>
              </w:rPr>
            </w:pPr>
            <w:r>
              <w:rPr>
                <w:rFonts w:eastAsia="Calibri" w:cs="Times New Roman" w:ascii="Times New Roman" w:hAnsi="Times New Roman"/>
                <w:kern w:val="0"/>
                <w:sz w:val="24"/>
                <w:szCs w:val="24"/>
                <w:lang w:val="pl-PL" w:eastAsia="en-US" w:bidi="ar-SA"/>
              </w:rPr>
              <w:t>20 03 07</w:t>
            </w:r>
          </w:p>
        </w:tc>
        <w:tc>
          <w:tcPr>
            <w:tcW w:w="3118" w:type="dxa"/>
            <w:tcBorders/>
          </w:tcPr>
          <w:p>
            <w:pPr>
              <w:pStyle w:val="Normal"/>
              <w:widowControl w:val="false"/>
              <w:suppressAutoHyphens w:val="true"/>
              <w:spacing w:lineRule="auto" w:line="271" w:before="0" w:after="0"/>
              <w:jc w:val="both"/>
              <w:rPr>
                <w:rFonts w:cs="Calibri" w:cstheme="minorHAnsi"/>
                <w:sz w:val="24"/>
                <w:szCs w:val="24"/>
              </w:rPr>
            </w:pPr>
            <w:r>
              <w:rPr>
                <w:rFonts w:eastAsia="Calibri" w:cs="Calibri" w:cstheme="minorHAnsi"/>
                <w:kern w:val="0"/>
                <w:sz w:val="24"/>
                <w:szCs w:val="24"/>
                <w:lang w:val="pl-PL" w:eastAsia="en-US" w:bidi="ar-SA"/>
              </w:rPr>
              <w:t>Odpady wielkogabarytowe</w:t>
            </w:r>
          </w:p>
        </w:tc>
        <w:tc>
          <w:tcPr>
            <w:tcW w:w="3118" w:type="dxa"/>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98,96</w:t>
            </w:r>
          </w:p>
        </w:tc>
      </w:tr>
      <w:tr>
        <w:trPr>
          <w:trHeight w:val="535" w:hRule="atLeast"/>
        </w:trPr>
        <w:tc>
          <w:tcPr>
            <w:tcW w:w="3118" w:type="dxa"/>
            <w:tcBorders>
              <w:top w:val="nil"/>
            </w:tcBorders>
          </w:tcPr>
          <w:p>
            <w:pPr>
              <w:pStyle w:val="Normal"/>
              <w:widowControl w:val="false"/>
              <w:suppressAutoHyphens w:val="true"/>
              <w:spacing w:lineRule="auto" w:line="271" w:before="0" w:after="0"/>
              <w:jc w:val="center"/>
              <w:rPr>
                <w:rFonts w:ascii="Times New Roman" w:hAnsi="Times New Roman" w:cs="Times New Roman"/>
                <w:sz w:val="24"/>
                <w:szCs w:val="24"/>
                <w:highlight w:val="yellow"/>
              </w:rPr>
            </w:pPr>
            <w:r>
              <w:rPr>
                <w:rFonts w:cs="Times New Roman" w:ascii="Times New Roman" w:hAnsi="Times New Roman"/>
                <w:sz w:val="24"/>
                <w:szCs w:val="24"/>
              </w:rPr>
              <w:t>17 01 01</w:t>
            </w:r>
          </w:p>
        </w:tc>
        <w:tc>
          <w:tcPr>
            <w:tcW w:w="3118" w:type="dxa"/>
            <w:tcBorders>
              <w:top w:val="nil"/>
            </w:tcBorders>
          </w:tcPr>
          <w:p>
            <w:pPr>
              <w:pStyle w:val="Normal"/>
              <w:widowControl w:val="false"/>
              <w:suppressAutoHyphens w:val="true"/>
              <w:spacing w:lineRule="auto" w:line="271" w:before="0" w:after="0"/>
              <w:jc w:val="both"/>
              <w:rPr>
                <w:rFonts w:cs="Calibri" w:cstheme="minorHAnsi"/>
                <w:sz w:val="24"/>
                <w:szCs w:val="24"/>
              </w:rPr>
            </w:pPr>
            <w:r>
              <w:rPr>
                <w:rFonts w:cs="Calibri"/>
                <w:sz w:val="24"/>
                <w:szCs w:val="24"/>
              </w:rPr>
              <w:t>Odpady betonu oraz gruz betonowy z rozbiórek i remontów</w:t>
            </w:r>
          </w:p>
        </w:tc>
        <w:tc>
          <w:tcPr>
            <w:tcW w:w="3118" w:type="dxa"/>
            <w:tcBorders>
              <w:top w:val="nil"/>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cs="Times New Roman" w:ascii="Times New Roman" w:hAnsi="Times New Roman"/>
                <w:sz w:val="24"/>
                <w:szCs w:val="24"/>
              </w:rPr>
              <w:t>38,82</w:t>
            </w:r>
          </w:p>
        </w:tc>
      </w:tr>
      <w:tr>
        <w:trPr>
          <w:trHeight w:val="535" w:hRule="atLeast"/>
        </w:trPr>
        <w:tc>
          <w:tcPr>
            <w:tcW w:w="3118" w:type="dxa"/>
            <w:tcBorders>
              <w:top w:val="nil"/>
            </w:tcBorders>
          </w:tcPr>
          <w:p>
            <w:pPr>
              <w:pStyle w:val="Normal"/>
              <w:widowControl w:val="false"/>
              <w:suppressAutoHyphens w:val="true"/>
              <w:spacing w:lineRule="auto" w:line="271" w:before="0" w:after="0"/>
              <w:jc w:val="center"/>
              <w:rPr>
                <w:rFonts w:ascii="Times New Roman" w:hAnsi="Times New Roman" w:cs="Times New Roman"/>
                <w:sz w:val="24"/>
                <w:szCs w:val="24"/>
                <w:highlight w:val="yellow"/>
              </w:rPr>
            </w:pPr>
            <w:r>
              <w:rPr>
                <w:rFonts w:cs="Times New Roman" w:ascii="Times New Roman" w:hAnsi="Times New Roman"/>
                <w:sz w:val="24"/>
                <w:szCs w:val="24"/>
              </w:rPr>
              <w:t>17 01 07</w:t>
            </w:r>
          </w:p>
        </w:tc>
        <w:tc>
          <w:tcPr>
            <w:tcW w:w="3118" w:type="dxa"/>
            <w:tcBorders>
              <w:top w:val="nil"/>
            </w:tcBorders>
          </w:tcPr>
          <w:p>
            <w:pPr>
              <w:pStyle w:val="Normal"/>
              <w:widowControl w:val="false"/>
              <w:suppressAutoHyphens w:val="true"/>
              <w:spacing w:lineRule="auto" w:line="271" w:before="0" w:after="0"/>
              <w:jc w:val="both"/>
              <w:rPr>
                <w:rFonts w:cs="Calibri" w:cstheme="minorHAnsi"/>
                <w:sz w:val="24"/>
                <w:szCs w:val="24"/>
              </w:rPr>
            </w:pPr>
            <w:r>
              <w:rPr>
                <w:rFonts w:cs="Calibri"/>
                <w:sz w:val="24"/>
                <w:szCs w:val="24"/>
              </w:rPr>
              <w:t>Zmieszane odpady z betonu, gruzu ceglanego, odpadowych materiałów ceramicznych i elementów wyposażenia inne niż wymienione w 17 01 06</w:t>
            </w:r>
          </w:p>
        </w:tc>
        <w:tc>
          <w:tcPr>
            <w:tcW w:w="3118" w:type="dxa"/>
            <w:tcBorders>
              <w:top w:val="nil"/>
            </w:tcBorders>
          </w:tcPr>
          <w:p>
            <w:pPr>
              <w:pStyle w:val="Normal"/>
              <w:widowControl w:val="false"/>
              <w:suppressAutoHyphens w:val="true"/>
              <w:spacing w:lineRule="auto" w:line="271" w:before="0" w:after="0"/>
              <w:jc w:val="center"/>
              <w:rPr>
                <w:rFonts w:ascii="Times New Roman" w:hAnsi="Times New Roman" w:cs="Times New Roman"/>
                <w:sz w:val="24"/>
                <w:szCs w:val="24"/>
              </w:rPr>
            </w:pPr>
            <w:r>
              <w:rPr>
                <w:rFonts w:cs="Times New Roman" w:ascii="Times New Roman" w:hAnsi="Times New Roman"/>
                <w:sz w:val="24"/>
                <w:szCs w:val="24"/>
              </w:rPr>
              <w:t>80,545</w:t>
            </w:r>
          </w:p>
        </w:tc>
      </w:tr>
    </w:tbl>
    <w:p>
      <w:pPr>
        <w:pStyle w:val="Normal"/>
        <w:spacing w:lineRule="auto" w:line="271"/>
        <w:jc w:val="both"/>
        <w:rPr>
          <w:rFonts w:ascii="Times New Roman" w:hAnsi="Times New Roman" w:eastAsia="Ebrima" w:cs="Times New Roman"/>
          <w:sz w:val="24"/>
          <w:szCs w:val="24"/>
          <w:u w:val="single"/>
        </w:rPr>
      </w:pPr>
      <w:r>
        <w:rPr>
          <w:rFonts w:eastAsia="Ebrima" w:cs="Times New Roman" w:ascii="Times New Roman" w:hAnsi="Times New Roman"/>
          <w:sz w:val="24"/>
          <w:szCs w:val="24"/>
          <w:u w:val="single"/>
        </w:rPr>
      </w:r>
    </w:p>
    <w:p>
      <w:pPr>
        <w:pStyle w:val="Normal"/>
        <w:spacing w:lineRule="auto" w:line="271"/>
        <w:jc w:val="both"/>
        <w:rPr>
          <w:rFonts w:ascii="Times New Roman" w:hAnsi="Times New Roman" w:eastAsia="Ebrima" w:cs="Times New Roman"/>
          <w:sz w:val="24"/>
          <w:szCs w:val="24"/>
          <w:u w:val="single"/>
        </w:rPr>
      </w:pPr>
      <w:r>
        <w:rPr>
          <w:rFonts w:eastAsia="Ebrima" w:cs="Times New Roman" w:ascii="Times New Roman" w:hAnsi="Times New Roman"/>
          <w:sz w:val="24"/>
          <w:szCs w:val="24"/>
          <w:u w:val="single"/>
        </w:rPr>
      </w:r>
    </w:p>
    <w:p>
      <w:pPr>
        <w:pStyle w:val="Normal"/>
        <w:spacing w:lineRule="auto" w:line="271"/>
        <w:jc w:val="both"/>
        <w:rPr>
          <w:rFonts w:eastAsia="Ebrima" w:cs="Calibri" w:cstheme="minorHAnsi"/>
          <w:b/>
          <w:b/>
          <w:bCs/>
          <w:sz w:val="24"/>
          <w:szCs w:val="24"/>
          <w:u w:val="single"/>
        </w:rPr>
      </w:pPr>
      <w:r>
        <w:rPr>
          <w:rFonts w:eastAsia="Ebrima" w:cs="Times New Roman" w:ascii="Times New Roman" w:hAnsi="Times New Roman"/>
          <w:b/>
          <w:bCs/>
          <w:sz w:val="24"/>
          <w:szCs w:val="24"/>
          <w:u w:val="single"/>
        </w:rPr>
        <w:t xml:space="preserve">5.2 </w:t>
      </w:r>
      <w:r>
        <w:rPr>
          <w:rFonts w:eastAsia="Ebrima" w:cs="Calibri" w:cstheme="minorHAnsi"/>
          <w:b/>
          <w:bCs/>
          <w:sz w:val="24"/>
          <w:szCs w:val="24"/>
          <w:u w:val="single"/>
        </w:rPr>
        <w:t>ODPADY KOMUNALNE ODEBRANE OD MIESZKAŃCÓW W 2024 R.</w:t>
      </w:r>
    </w:p>
    <w:tbl>
      <w:tblPr>
        <w:tblStyle w:val="Tabela-Siatka"/>
        <w:tblW w:w="93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08"/>
        <w:gridCol w:w="3108"/>
        <w:gridCol w:w="3108"/>
      </w:tblGrid>
      <w:tr>
        <w:trPr/>
        <w:tc>
          <w:tcPr>
            <w:tcW w:w="3108" w:type="dxa"/>
            <w:tcBorders/>
          </w:tcPr>
          <w:p>
            <w:pPr>
              <w:pStyle w:val="Normal"/>
              <w:widowControl w:val="false"/>
              <w:suppressAutoHyphens w:val="true"/>
              <w:spacing w:lineRule="auto" w:line="271" w:before="0" w:after="0"/>
              <w:jc w:val="both"/>
              <w:rPr>
                <w:rFonts w:eastAsia="Ebrima" w:cs="Calibri" w:cstheme="minorHAnsi"/>
                <w:b/>
                <w:b/>
                <w:bCs/>
                <w:sz w:val="24"/>
                <w:szCs w:val="24"/>
                <w:u w:val="single"/>
              </w:rPr>
            </w:pPr>
            <w:r>
              <w:rPr>
                <w:rFonts w:eastAsia="Ebrima" w:cs="Calibri" w:cstheme="minorHAnsi"/>
                <w:b/>
                <w:bCs/>
                <w:kern w:val="0"/>
                <w:sz w:val="24"/>
                <w:szCs w:val="24"/>
                <w:u w:val="single"/>
                <w:lang w:val="pl-PL" w:eastAsia="en-US" w:bidi="ar-SA"/>
              </w:rPr>
              <w:t>Kod odebranych odpadów</w:t>
            </w:r>
          </w:p>
        </w:tc>
        <w:tc>
          <w:tcPr>
            <w:tcW w:w="3108" w:type="dxa"/>
            <w:tcBorders/>
          </w:tcPr>
          <w:p>
            <w:pPr>
              <w:pStyle w:val="Normal"/>
              <w:widowControl w:val="false"/>
              <w:suppressAutoHyphens w:val="true"/>
              <w:spacing w:lineRule="auto" w:line="271" w:before="0" w:after="0"/>
              <w:jc w:val="both"/>
              <w:rPr>
                <w:rFonts w:eastAsia="Ebrima" w:cs="Calibri" w:cstheme="minorHAnsi"/>
                <w:b/>
                <w:b/>
                <w:bCs/>
                <w:sz w:val="24"/>
                <w:szCs w:val="24"/>
                <w:u w:val="single"/>
              </w:rPr>
            </w:pPr>
            <w:r>
              <w:rPr>
                <w:rFonts w:eastAsia="Ebrima" w:cs="Calibri" w:cstheme="minorHAnsi"/>
                <w:b/>
                <w:bCs/>
                <w:kern w:val="0"/>
                <w:sz w:val="24"/>
                <w:szCs w:val="24"/>
                <w:u w:val="single"/>
                <w:lang w:val="pl-PL" w:eastAsia="en-US" w:bidi="ar-SA"/>
              </w:rPr>
              <w:t>Rodzaj odebranych odpadów</w:t>
            </w:r>
          </w:p>
        </w:tc>
        <w:tc>
          <w:tcPr>
            <w:tcW w:w="3108" w:type="dxa"/>
            <w:tcBorders/>
          </w:tcPr>
          <w:p>
            <w:pPr>
              <w:pStyle w:val="Normal"/>
              <w:widowControl w:val="false"/>
              <w:suppressAutoHyphens w:val="true"/>
              <w:spacing w:lineRule="auto" w:line="271" w:before="0" w:after="0"/>
              <w:jc w:val="both"/>
              <w:rPr>
                <w:rFonts w:eastAsia="Ebrima" w:cs="Calibri" w:cstheme="minorHAnsi"/>
                <w:b/>
                <w:b/>
                <w:bCs/>
                <w:sz w:val="24"/>
                <w:szCs w:val="24"/>
                <w:u w:val="single"/>
              </w:rPr>
            </w:pPr>
            <w:r>
              <w:rPr>
                <w:rFonts w:eastAsia="Ebrima" w:cs="Calibri" w:cstheme="minorHAnsi"/>
                <w:b/>
                <w:bCs/>
                <w:kern w:val="0"/>
                <w:sz w:val="24"/>
                <w:szCs w:val="24"/>
                <w:u w:val="single"/>
                <w:lang w:val="pl-PL" w:eastAsia="en-US" w:bidi="ar-SA"/>
              </w:rPr>
              <w:t>Masa odebranych odpadów (Mg)</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20 03 01</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Niesegregowane (zmieszane) odpady komunalne</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2412,60</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15 01 02</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Opakowania z tworzyw sztucznych</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450,00</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15 01 07</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Opakowania ze szkła</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307,30</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15 01 06</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Zmieszane odpady opakowaniowe</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3,00</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20 01 99 ex</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Popioły z palenisk domowych</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536,68</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17 02 03</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Tworzywa sztuczne</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40,60</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15 01 01</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Opakowania z papieru i tektury</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128,26</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kern w:val="0"/>
                <w:sz w:val="24"/>
                <w:szCs w:val="24"/>
                <w:lang w:val="pl-PL" w:eastAsia="en-US" w:bidi="ar-SA"/>
              </w:rPr>
              <w:t>20 02 01</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Odpady ulegające biodegradacji</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1021,92</w:t>
            </w:r>
          </w:p>
        </w:tc>
      </w:tr>
      <w:tr>
        <w:trPr/>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kern w:val="0"/>
                <w:sz w:val="24"/>
                <w:szCs w:val="24"/>
                <w:lang w:val="pl-PL" w:eastAsia="en-US" w:bidi="ar-SA"/>
              </w:rPr>
              <w:t>20 03 99</w:t>
            </w:r>
          </w:p>
        </w:tc>
        <w:tc>
          <w:tcPr>
            <w:tcW w:w="3108" w:type="dxa"/>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cstheme="minorHAnsi"/>
                <w:kern w:val="0"/>
                <w:sz w:val="24"/>
                <w:szCs w:val="24"/>
                <w:lang w:val="pl-PL" w:eastAsia="en-US" w:bidi="ar-SA"/>
              </w:rPr>
              <w:t>Odpady komunalne niewymienione w innych podgrupach</w:t>
            </w:r>
          </w:p>
        </w:tc>
        <w:tc>
          <w:tcPr>
            <w:tcW w:w="3108" w:type="dxa"/>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kern w:val="0"/>
                <w:sz w:val="24"/>
                <w:szCs w:val="24"/>
                <w:lang w:val="pl-PL" w:eastAsia="en-US" w:bidi="ar-SA"/>
              </w:rPr>
              <w:t>56,66</w:t>
            </w:r>
          </w:p>
        </w:tc>
      </w:tr>
      <w:tr>
        <w:trPr/>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sz w:val="24"/>
                <w:szCs w:val="24"/>
              </w:rPr>
              <w:t>20 01 02</w:t>
            </w:r>
          </w:p>
        </w:tc>
        <w:tc>
          <w:tcPr>
            <w:tcW w:w="3108" w:type="dxa"/>
            <w:tcBorders>
              <w:top w:val="nil"/>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sz w:val="24"/>
                <w:szCs w:val="24"/>
              </w:rPr>
              <w:t>Szkło</w:t>
            </w:r>
          </w:p>
        </w:tc>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sz w:val="24"/>
                <w:szCs w:val="24"/>
              </w:rPr>
              <w:t>0,06</w:t>
            </w:r>
          </w:p>
        </w:tc>
      </w:tr>
      <w:tr>
        <w:trPr/>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sz w:val="24"/>
                <w:szCs w:val="24"/>
              </w:rPr>
              <w:t>20 01 11</w:t>
            </w:r>
          </w:p>
        </w:tc>
        <w:tc>
          <w:tcPr>
            <w:tcW w:w="3108" w:type="dxa"/>
            <w:tcBorders>
              <w:top w:val="nil"/>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sz w:val="24"/>
                <w:szCs w:val="24"/>
              </w:rPr>
              <w:t>Tekstylia</w:t>
            </w:r>
          </w:p>
        </w:tc>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sz w:val="24"/>
                <w:szCs w:val="24"/>
              </w:rPr>
              <w:t>0,78</w:t>
            </w:r>
          </w:p>
        </w:tc>
      </w:tr>
      <w:tr>
        <w:trPr/>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sz w:val="24"/>
                <w:szCs w:val="24"/>
              </w:rPr>
              <w:t>20 01 99</w:t>
            </w:r>
          </w:p>
        </w:tc>
        <w:tc>
          <w:tcPr>
            <w:tcW w:w="3108" w:type="dxa"/>
            <w:tcBorders>
              <w:top w:val="nil"/>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sz w:val="24"/>
                <w:szCs w:val="24"/>
              </w:rPr>
              <w:t>Inne niewymienione frakcje zbierane w sposób selektywny</w:t>
            </w:r>
          </w:p>
        </w:tc>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sz w:val="24"/>
                <w:szCs w:val="24"/>
              </w:rPr>
              <w:t>5,00</w:t>
            </w:r>
          </w:p>
        </w:tc>
      </w:tr>
      <w:tr>
        <w:trPr/>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sz w:val="24"/>
                <w:szCs w:val="24"/>
              </w:rPr>
              <w:t>20 02 03</w:t>
            </w:r>
          </w:p>
        </w:tc>
        <w:tc>
          <w:tcPr>
            <w:tcW w:w="3108" w:type="dxa"/>
            <w:tcBorders>
              <w:top w:val="nil"/>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sz w:val="24"/>
                <w:szCs w:val="24"/>
              </w:rPr>
              <w:t>Inne odpady nieulegające biodegradacji</w:t>
            </w:r>
          </w:p>
        </w:tc>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sz w:val="24"/>
                <w:szCs w:val="24"/>
              </w:rPr>
              <w:t>117,96</w:t>
            </w:r>
          </w:p>
        </w:tc>
      </w:tr>
      <w:tr>
        <w:trPr/>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highlight w:val="yellow"/>
              </w:rPr>
            </w:pPr>
            <w:r>
              <w:rPr>
                <w:rFonts w:eastAsia="Ebrima" w:cs="Times New Roman" w:ascii="Times New Roman" w:hAnsi="Times New Roman"/>
                <w:sz w:val="24"/>
                <w:szCs w:val="24"/>
              </w:rPr>
              <w:t>20 03 07</w:t>
            </w:r>
          </w:p>
        </w:tc>
        <w:tc>
          <w:tcPr>
            <w:tcW w:w="3108" w:type="dxa"/>
            <w:tcBorders>
              <w:top w:val="nil"/>
            </w:tcBorders>
          </w:tcPr>
          <w:p>
            <w:pPr>
              <w:pStyle w:val="Normal"/>
              <w:widowControl w:val="false"/>
              <w:suppressAutoHyphens w:val="true"/>
              <w:spacing w:lineRule="auto" w:line="271" w:before="0" w:after="0"/>
              <w:jc w:val="both"/>
              <w:rPr>
                <w:rFonts w:eastAsia="Ebrima" w:cs="Calibri" w:cstheme="minorHAnsi"/>
                <w:sz w:val="24"/>
                <w:szCs w:val="24"/>
              </w:rPr>
            </w:pPr>
            <w:r>
              <w:rPr>
                <w:rFonts w:eastAsia="Ebrima" w:cs="Calibri"/>
                <w:sz w:val="24"/>
                <w:szCs w:val="24"/>
              </w:rPr>
              <w:t>Odpady wielkogabarytowe</w:t>
            </w:r>
          </w:p>
        </w:tc>
        <w:tc>
          <w:tcPr>
            <w:tcW w:w="3108" w:type="dxa"/>
            <w:tcBorders>
              <w:top w:val="nil"/>
            </w:tcBorders>
          </w:tcPr>
          <w:p>
            <w:pPr>
              <w:pStyle w:val="Normal"/>
              <w:widowControl w:val="false"/>
              <w:suppressAutoHyphens w:val="true"/>
              <w:spacing w:lineRule="auto" w:line="271" w:before="0" w:after="0"/>
              <w:jc w:val="center"/>
              <w:rPr>
                <w:rFonts w:ascii="Times New Roman" w:hAnsi="Times New Roman" w:eastAsia="Ebrima" w:cs="Times New Roman"/>
                <w:sz w:val="24"/>
                <w:szCs w:val="24"/>
              </w:rPr>
            </w:pPr>
            <w:r>
              <w:rPr>
                <w:rFonts w:eastAsia="Ebrima" w:cs="Times New Roman" w:ascii="Times New Roman" w:hAnsi="Times New Roman"/>
                <w:sz w:val="24"/>
                <w:szCs w:val="24"/>
              </w:rPr>
              <w:t>2,35</w:t>
            </w:r>
          </w:p>
        </w:tc>
      </w:tr>
    </w:tbl>
    <w:p>
      <w:pPr>
        <w:pStyle w:val="Normal"/>
        <w:spacing w:lineRule="auto" w:line="271"/>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cs="Calibri" w:cstheme="minorHAnsi"/>
          <w:bCs/>
          <w:sz w:val="24"/>
          <w:szCs w:val="24"/>
        </w:rPr>
      </w:pPr>
      <w:r>
        <w:rPr>
          <w:rFonts w:cs="Calibri" w:cstheme="minorHAnsi"/>
          <w:bCs/>
          <w:sz w:val="24"/>
          <w:szCs w:val="24"/>
        </w:rPr>
        <w:t xml:space="preserve">Osiągnięty poziom ograniczenia  masy odpadów komunalnych ulegających biodegradacji przekazanych do składowania z obszaru gminy Pelplin wyniósł </w:t>
      </w:r>
      <w:r>
        <w:rPr>
          <w:rFonts w:cs="Calibri" w:cstheme="minorHAnsi"/>
          <w:b/>
          <w:bCs/>
          <w:sz w:val="24"/>
          <w:szCs w:val="24"/>
        </w:rPr>
        <w:t xml:space="preserve"> 48,</w:t>
      </w:r>
      <w:r>
        <w:rPr>
          <w:rFonts w:cs="Calibri" w:cstheme="minorHAnsi"/>
          <w:b/>
          <w:sz w:val="24"/>
          <w:szCs w:val="24"/>
        </w:rPr>
        <w:t>86%</w:t>
      </w:r>
      <w:r>
        <w:rPr>
          <w:rFonts w:cs="Calibri" w:cstheme="minorHAnsi"/>
          <w:bCs/>
          <w:sz w:val="24"/>
          <w:szCs w:val="24"/>
        </w:rPr>
        <w:t xml:space="preserve"> </w:t>
      </w:r>
    </w:p>
    <w:p>
      <w:pPr>
        <w:pStyle w:val="Normal"/>
        <w:jc w:val="both"/>
        <w:rPr>
          <w:rFonts w:cs="Calibri" w:cstheme="minorHAnsi"/>
          <w:b/>
          <w:b/>
          <w:sz w:val="24"/>
          <w:szCs w:val="24"/>
        </w:rPr>
      </w:pPr>
      <w:r>
        <w:rPr>
          <w:rFonts w:cs="Calibri" w:cstheme="minorHAnsi"/>
          <w:bCs/>
          <w:sz w:val="24"/>
          <w:szCs w:val="24"/>
        </w:rPr>
        <w:t xml:space="preserve">Osiągnięty poziom recyklingu i przygotowania do ponownego użycia odpadów komunalnych w gminie Pelplin za 2024 r. wyniósł </w:t>
      </w:r>
      <w:r>
        <w:rPr>
          <w:rFonts w:cs="Calibri" w:cstheme="minorHAnsi"/>
          <w:b/>
          <w:bCs/>
          <w:sz w:val="24"/>
          <w:szCs w:val="24"/>
        </w:rPr>
        <w:t>32,</w:t>
      </w:r>
      <w:r>
        <w:rPr>
          <w:rFonts w:cs="Calibri" w:cstheme="minorHAnsi"/>
          <w:b/>
          <w:sz w:val="24"/>
          <w:szCs w:val="24"/>
        </w:rPr>
        <w:t>93%</w:t>
      </w:r>
    </w:p>
    <w:p>
      <w:pPr>
        <w:pStyle w:val="Normal"/>
        <w:spacing w:lineRule="auto" w:line="271"/>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cs="Calibri" w:cstheme="minorHAnsi"/>
          <w:b/>
          <w:b/>
          <w:sz w:val="24"/>
          <w:szCs w:val="24"/>
        </w:rPr>
      </w:pPr>
      <w:r>
        <w:rPr>
          <w:rFonts w:cs="Calibri" w:cstheme="minorHAnsi"/>
          <w:b/>
          <w:sz w:val="24"/>
          <w:szCs w:val="24"/>
        </w:rPr>
        <w:t>VI. DZIAŁANIA EDUKACYJNE I INFORMACYJNE W ZAKRESIE PRAWIDŁOWEGO GOSPODAROWANIA ODPADAMI KOMUNALNYMI</w:t>
      </w:r>
    </w:p>
    <w:p>
      <w:pPr>
        <w:pStyle w:val="Normal"/>
        <w:spacing w:before="0" w:after="0"/>
        <w:jc w:val="both"/>
        <w:rPr>
          <w:rFonts w:cs="Calibri" w:cstheme="minorHAnsi"/>
          <w:iCs/>
          <w:sz w:val="24"/>
          <w:szCs w:val="24"/>
        </w:rPr>
      </w:pPr>
      <w:r>
        <w:rPr>
          <w:rFonts w:cs="Calibri" w:cstheme="minorHAnsi"/>
          <w:sz w:val="24"/>
          <w:szCs w:val="24"/>
        </w:rPr>
        <w:t xml:space="preserve">Zgodnie z art. 3 ust. 2 pkt 8 </w:t>
      </w:r>
      <w:r>
        <w:rPr>
          <w:rFonts w:cs="Calibri" w:cstheme="minorHAnsi"/>
          <w:i/>
          <w:sz w:val="24"/>
          <w:szCs w:val="24"/>
        </w:rPr>
        <w:t xml:space="preserve">ustawy z dnia 13 września 1996 r. o utrzymaniu czystości i porządku gminach, </w:t>
      </w:r>
      <w:r>
        <w:rPr>
          <w:rFonts w:cs="Calibri" w:cstheme="minorHAnsi"/>
          <w:sz w:val="24"/>
          <w:szCs w:val="24"/>
        </w:rPr>
        <w:t xml:space="preserve">gmina ma obowiązek prowadzić działania informacyjne i edukacyjne w zakresie prawidłowego gospodarowania odpadami komunalnymi, uwzględniając w szczególności selektywne zbieranie odpadów komunalnych. </w:t>
      </w:r>
      <w:r>
        <w:rPr>
          <w:rFonts w:cs="Calibri" w:cstheme="minorHAnsi"/>
          <w:iCs/>
          <w:sz w:val="24"/>
          <w:szCs w:val="24"/>
        </w:rPr>
        <w:t xml:space="preserve">Burmistrz Miasta i Gminy Pelplin wraz z Sołtysami z wykorzystaniem jednostek organizacyjnych: Referat Inwestycji i Gospodarki Komunalnej, Referat Promocji, Straż Miejska oraz Spółki Gminnej Pelkom, realizują zadania związane </w:t>
        <w:br/>
        <w:t>z informowaniem społeczeństwa o zasadach utrzymania czystości i porządku w gminie Pelplin.</w:t>
      </w:r>
    </w:p>
    <w:p>
      <w:pPr>
        <w:pStyle w:val="Normal"/>
        <w:spacing w:before="0" w:after="0"/>
        <w:jc w:val="both"/>
        <w:rPr>
          <w:rFonts w:cs="Calibri" w:cstheme="minorHAnsi"/>
          <w:iCs/>
          <w:sz w:val="24"/>
          <w:szCs w:val="24"/>
        </w:rPr>
      </w:pPr>
      <w:r>
        <w:rPr>
          <w:rFonts w:cs="Calibri" w:cstheme="minorHAnsi"/>
          <w:iCs/>
          <w:sz w:val="24"/>
          <w:szCs w:val="24"/>
        </w:rPr>
        <w:t xml:space="preserve">Do celów informacyjnych wykorzystywane są media elektroniczne, plakaty, ulotki, spotkania wspólnot, spotkania z mieszkańcami podczas corocznych imprez t.j. „Dni Pelplina” oraz „Jarmark Cysterski” itd. oraz osobiste wizyty pracowników Referatu Inwestycji i Gospodarki Komunalnej w zainteresowanych podmiotach (np.: Uniwersytet Trzeciego Wieku). </w:t>
      </w:r>
    </w:p>
    <w:p>
      <w:pPr>
        <w:pStyle w:val="Normal"/>
        <w:spacing w:before="0" w:after="0"/>
        <w:jc w:val="both"/>
        <w:rPr>
          <w:rFonts w:cs="Calibri" w:cstheme="minorHAnsi"/>
          <w:iCs/>
          <w:sz w:val="24"/>
          <w:szCs w:val="24"/>
        </w:rPr>
      </w:pPr>
      <w:r>
        <w:rPr>
          <w:rFonts w:cs="Calibri" w:cstheme="minorHAnsi"/>
          <w:iCs/>
          <w:sz w:val="24"/>
          <w:szCs w:val="24"/>
        </w:rPr>
        <w:t xml:space="preserve">Aby podnieść świadomość społeczeństwa Gmina co roku świętuje Dzień Ziemi. W ramach tych obchodów prowadzona jest akcja sprzątania świata, w której udział biorą mieszkańcy niezależnie od wieku. Akcje takie mają na celu przede wszystkim uświadamianie społeczności lokalnej jak ważne jest dbanie o porządek, środowisko i racjonalne gospodarowanie odpadami. </w:t>
      </w:r>
    </w:p>
    <w:p>
      <w:pPr>
        <w:pStyle w:val="Normal"/>
        <w:spacing w:before="0" w:after="0"/>
        <w:jc w:val="both"/>
        <w:rPr>
          <w:rFonts w:cs="Calibri" w:cstheme="minorHAnsi"/>
          <w:iCs/>
          <w:sz w:val="24"/>
          <w:szCs w:val="24"/>
        </w:rPr>
      </w:pPr>
      <w:r>
        <w:rPr>
          <w:rFonts w:cs="Calibri" w:cstheme="minorHAnsi"/>
          <w:iCs/>
          <w:sz w:val="24"/>
          <w:szCs w:val="24"/>
        </w:rPr>
      </w:r>
    </w:p>
    <w:p>
      <w:pPr>
        <w:pStyle w:val="Normal"/>
        <w:spacing w:before="0" w:after="0"/>
        <w:jc w:val="both"/>
        <w:rPr>
          <w:rFonts w:ascii="Calibri" w:hAnsi="Calibri" w:cs="Calibri"/>
          <w:b/>
          <w:b/>
          <w:bCs/>
          <w:iCs/>
          <w:sz w:val="24"/>
          <w:szCs w:val="24"/>
        </w:rPr>
      </w:pPr>
      <w:r>
        <w:rPr>
          <w:rFonts w:cs="Times New Roman" w:ascii="Times New Roman" w:hAnsi="Times New Roman"/>
          <w:b/>
          <w:bCs/>
          <w:iCs/>
          <w:sz w:val="24"/>
          <w:szCs w:val="24"/>
        </w:rPr>
        <w:t>V</w:t>
      </w:r>
      <w:r>
        <w:rPr>
          <w:rFonts w:cs="Calibri"/>
          <w:b/>
          <w:bCs/>
          <w:iCs/>
          <w:sz w:val="24"/>
          <w:szCs w:val="24"/>
        </w:rPr>
        <w:t>. WNIOSKI I ZALECENIA</w:t>
      </w:r>
    </w:p>
    <w:p>
      <w:pPr>
        <w:pStyle w:val="Normal"/>
        <w:spacing w:before="0" w:after="0"/>
        <w:jc w:val="both"/>
        <w:rPr>
          <w:rFonts w:ascii="Calibri" w:hAnsi="Calibri" w:cs="Calibri"/>
          <w:iCs/>
          <w:sz w:val="24"/>
          <w:szCs w:val="24"/>
        </w:rPr>
      </w:pPr>
      <w:r>
        <w:rPr>
          <w:rFonts w:cs="Calibri"/>
          <w:iCs/>
          <w:sz w:val="24"/>
          <w:szCs w:val="24"/>
        </w:rPr>
      </w:r>
    </w:p>
    <w:p>
      <w:pPr>
        <w:pStyle w:val="Normal"/>
        <w:jc w:val="both"/>
        <w:rPr>
          <w:rFonts w:ascii="Calibri" w:hAnsi="Calibri" w:cs="Calibri"/>
          <w:sz w:val="24"/>
          <w:szCs w:val="24"/>
        </w:rPr>
      </w:pPr>
      <w:r>
        <w:rPr>
          <w:rFonts w:cs="Calibri"/>
          <w:sz w:val="24"/>
          <w:szCs w:val="24"/>
        </w:rPr>
        <w:t>Niniejsza analiza, jako dokument sporządzony corocznie dzięki zestawieniu danych w zakresie funkcjonowania systemu gospodarowania odpadami komunalnymi w 2024 r. jak również w latach ubiegłych stanowi podsumowanie funkcjonowanie systemu, która pozwala wyciągnąć wnioski w zakresie ukierunkowania Gminy Pelplin, na to, w jakim zakresie należy usprawnić system gospodarowania odpadami na terenie Gminy Pelplin.   Mieszkańcy mają możliwość pozbycia się odpadów  wielkogabarytowych oraz  zużytego  sprzętu elektrycznego  i elektronicznego w corocznej zbiórce  „Wystawiamy graty z chaty”.</w:t>
      </w:r>
    </w:p>
    <w:p>
      <w:pPr>
        <w:sectPr>
          <w:type w:val="nextPage"/>
          <w:pgSz w:w="11906" w:h="16838"/>
          <w:pgMar w:left="1440" w:right="1126" w:gutter="0" w:header="0" w:top="704" w:footer="0" w:bottom="415"/>
          <w:pgNumType w:fmt="decimal"/>
          <w:formProt w:val="false"/>
          <w:textDirection w:val="lrTb"/>
          <w:docGrid w:type="default" w:linePitch="100" w:charSpace="4096"/>
        </w:sectPr>
        <w:pStyle w:val="Normal"/>
        <w:jc w:val="both"/>
        <w:rPr>
          <w:rFonts w:ascii="Calibri" w:hAnsi="Calibri" w:cs="Calibri"/>
          <w:sz w:val="24"/>
          <w:szCs w:val="24"/>
        </w:rPr>
      </w:pPr>
      <w:r>
        <w:rPr>
          <w:rFonts w:cs="Calibri"/>
          <w:sz w:val="24"/>
          <w:szCs w:val="24"/>
        </w:rPr>
        <w:t xml:space="preserve">Gmina we właściwy sposób realizuje całokształt działań związanych z gospodarką odpadami od momentu ich wytworzenia, poprzez proces odbioru, transportu, segregacji do odzysku lub unieszkodliwienia włącznie. System funkcjonuje w oparciu o ustawowe akty prawne oraz akty prawa miejscowego. Wszyscy właściciele nieruchomości zamieszkałych na terenie Gminy Pelplin zostali objęci systemem gospodarowania odpadami. </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auto" w:line="264"/>
        <w:ind w:right="360" w:hanging="0"/>
        <w:rPr>
          <w:rFonts w:ascii="Ebrima" w:hAnsi="Ebrima"/>
          <w:sz w:val="20"/>
          <w:szCs w:val="20"/>
        </w:rPr>
      </w:pPr>
      <w:r>
        <w:rPr>
          <w:rFonts w:ascii="Ebrima" w:hAnsi="Ebrima"/>
          <w:sz w:val="20"/>
          <w:szCs w:val="20"/>
        </w:rPr>
      </w:r>
    </w:p>
    <w:p>
      <w:pPr>
        <w:pStyle w:val="Normal"/>
        <w:spacing w:lineRule="auto" w:line="271"/>
        <w:ind w:left="260" w:hanging="0"/>
        <w:jc w:val="both"/>
        <w:rPr>
          <w:rFonts w:ascii="Calibri" w:hAnsi="Calibri" w:eastAsia="Ebrima" w:cs="Calibri"/>
          <w:color w:val="000000" w:themeColor="text1"/>
        </w:rPr>
      </w:pPr>
      <w:r>
        <w:rPr>
          <w:rFonts w:eastAsia="Ebrima" w:cs="Calibri"/>
          <w:color w:val="000000" w:themeColor="text1"/>
        </w:rPr>
      </w:r>
    </w:p>
    <w:p>
      <w:pPr>
        <w:pStyle w:val="Normal"/>
        <w:ind w:left="360" w:hanging="0"/>
        <w:rPr/>
      </w:pPr>
      <w:r>
        <w:rPr/>
      </w:r>
    </w:p>
    <w:p>
      <w:pPr>
        <w:pStyle w:val="Normal"/>
        <w:ind w:left="360" w:hanging="0"/>
        <w:rPr/>
      </w:pPr>
      <w:r>
        <w:rPr/>
      </w:r>
    </w:p>
    <w:p>
      <w:pPr>
        <w:pStyle w:val="Normal"/>
        <w:ind w:left="360" w:hanging="0"/>
        <w:rPr/>
      </w:pPr>
      <w:r>
        <w:rPr/>
      </w:r>
    </w:p>
    <w:p>
      <w:pPr>
        <w:pStyle w:val="Normal"/>
        <w:spacing w:before="0" w:after="160"/>
        <w:ind w:left="360" w:hanging="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Ebrim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u w:val="single"/>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980" w:hanging="360"/>
      </w:pPr>
      <w:rPr>
        <w:rFonts w:ascii="Symbol" w:hAnsi="Symbol" w:cs="Symbol" w:hint="default"/>
      </w:rPr>
    </w:lvl>
    <w:lvl w:ilvl="1">
      <w:start w:val="1"/>
      <w:numFmt w:val="bullet"/>
      <w:lvlText w:val="o"/>
      <w:lvlJc w:val="left"/>
      <w:pPr>
        <w:tabs>
          <w:tab w:val="num" w:pos="0"/>
        </w:tabs>
        <w:ind w:left="1700" w:hanging="360"/>
      </w:pPr>
      <w:rPr>
        <w:rFonts w:ascii="Courier New" w:hAnsi="Courier New" w:cs="Courier New" w:hint="default"/>
      </w:rPr>
    </w:lvl>
    <w:lvl w:ilvl="2">
      <w:start w:val="1"/>
      <w:numFmt w:val="bullet"/>
      <w:lvlText w:val=""/>
      <w:lvlJc w:val="left"/>
      <w:pPr>
        <w:tabs>
          <w:tab w:val="num" w:pos="0"/>
        </w:tabs>
        <w:ind w:left="2420" w:hanging="360"/>
      </w:pPr>
      <w:rPr>
        <w:rFonts w:ascii="Wingdings" w:hAnsi="Wingdings" w:cs="Wingdings" w:hint="default"/>
      </w:rPr>
    </w:lvl>
    <w:lvl w:ilvl="3">
      <w:start w:val="1"/>
      <w:numFmt w:val="bullet"/>
      <w:lvlText w:val=""/>
      <w:lvlJc w:val="left"/>
      <w:pPr>
        <w:tabs>
          <w:tab w:val="num" w:pos="0"/>
        </w:tabs>
        <w:ind w:left="3140" w:hanging="360"/>
      </w:pPr>
      <w:rPr>
        <w:rFonts w:ascii="Symbol" w:hAnsi="Symbol" w:cs="Symbol" w:hint="default"/>
      </w:rPr>
    </w:lvl>
    <w:lvl w:ilvl="4">
      <w:start w:val="1"/>
      <w:numFmt w:val="bullet"/>
      <w:lvlText w:val="o"/>
      <w:lvlJc w:val="left"/>
      <w:pPr>
        <w:tabs>
          <w:tab w:val="num" w:pos="0"/>
        </w:tabs>
        <w:ind w:left="3860" w:hanging="360"/>
      </w:pPr>
      <w:rPr>
        <w:rFonts w:ascii="Courier New" w:hAnsi="Courier New" w:cs="Courier New" w:hint="default"/>
      </w:rPr>
    </w:lvl>
    <w:lvl w:ilvl="5">
      <w:start w:val="1"/>
      <w:numFmt w:val="bullet"/>
      <w:lvlText w:val=""/>
      <w:lvlJc w:val="left"/>
      <w:pPr>
        <w:tabs>
          <w:tab w:val="num" w:pos="0"/>
        </w:tabs>
        <w:ind w:left="4580" w:hanging="360"/>
      </w:pPr>
      <w:rPr>
        <w:rFonts w:ascii="Wingdings" w:hAnsi="Wingdings" w:cs="Wingdings"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o"/>
      <w:lvlJc w:val="left"/>
      <w:pPr>
        <w:tabs>
          <w:tab w:val="num" w:pos="0"/>
        </w:tabs>
        <w:ind w:left="6020" w:hanging="360"/>
      </w:pPr>
      <w:rPr>
        <w:rFonts w:ascii="Courier New" w:hAnsi="Courier New" w:cs="Courier New" w:hint="default"/>
      </w:rPr>
    </w:lvl>
    <w:lvl w:ilvl="8">
      <w:start w:val="1"/>
      <w:numFmt w:val="bullet"/>
      <w:lvlText w:val=""/>
      <w:lvlJc w:val="left"/>
      <w:pPr>
        <w:tabs>
          <w:tab w:val="num" w:pos="0"/>
        </w:tabs>
        <w:ind w:left="67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980" w:hanging="360"/>
      </w:pPr>
    </w:lvl>
    <w:lvl w:ilvl="1">
      <w:start w:val="1"/>
      <w:numFmt w:val="lowerLetter"/>
      <w:lvlText w:val="%2."/>
      <w:lvlJc w:val="left"/>
      <w:pPr>
        <w:tabs>
          <w:tab w:val="num" w:pos="0"/>
        </w:tabs>
        <w:ind w:left="1700" w:hanging="360"/>
      </w:pPr>
    </w:lvl>
    <w:lvl w:ilvl="2">
      <w:start w:val="1"/>
      <w:numFmt w:val="lowerRoman"/>
      <w:lvlText w:val="%3."/>
      <w:lvlJc w:val="right"/>
      <w:pPr>
        <w:tabs>
          <w:tab w:val="num" w:pos="0"/>
        </w:tabs>
        <w:ind w:left="2420" w:hanging="180"/>
      </w:pPr>
    </w:lvl>
    <w:lvl w:ilvl="3">
      <w:start w:val="1"/>
      <w:numFmt w:val="decimal"/>
      <w:lvlText w:val="%4."/>
      <w:lvlJc w:val="left"/>
      <w:pPr>
        <w:tabs>
          <w:tab w:val="num" w:pos="0"/>
        </w:tabs>
        <w:ind w:left="3140" w:hanging="360"/>
      </w:pPr>
    </w:lvl>
    <w:lvl w:ilvl="4">
      <w:start w:val="1"/>
      <w:numFmt w:val="lowerLetter"/>
      <w:lvlText w:val="%5."/>
      <w:lvlJc w:val="left"/>
      <w:pPr>
        <w:tabs>
          <w:tab w:val="num" w:pos="0"/>
        </w:tabs>
        <w:ind w:left="3860" w:hanging="360"/>
      </w:pPr>
    </w:lvl>
    <w:lvl w:ilvl="5">
      <w:start w:val="1"/>
      <w:numFmt w:val="lowerRoman"/>
      <w:lvlText w:val="%6."/>
      <w:lvlJc w:val="right"/>
      <w:pPr>
        <w:tabs>
          <w:tab w:val="num" w:pos="0"/>
        </w:tabs>
        <w:ind w:left="4580" w:hanging="180"/>
      </w:pPr>
    </w:lvl>
    <w:lvl w:ilvl="6">
      <w:start w:val="1"/>
      <w:numFmt w:val="decimal"/>
      <w:lvlText w:val="%7."/>
      <w:lvlJc w:val="left"/>
      <w:pPr>
        <w:tabs>
          <w:tab w:val="num" w:pos="0"/>
        </w:tabs>
        <w:ind w:left="5300" w:hanging="360"/>
      </w:pPr>
    </w:lvl>
    <w:lvl w:ilvl="7">
      <w:start w:val="1"/>
      <w:numFmt w:val="lowerLetter"/>
      <w:lvlText w:val="%8."/>
      <w:lvlJc w:val="left"/>
      <w:pPr>
        <w:tabs>
          <w:tab w:val="num" w:pos="0"/>
        </w:tabs>
        <w:ind w:left="6020" w:hanging="360"/>
      </w:pPr>
    </w:lvl>
    <w:lvl w:ilvl="8">
      <w:start w:val="1"/>
      <w:numFmt w:val="lowerRoman"/>
      <w:lvlText w:val="%9."/>
      <w:lvlJc w:val="right"/>
      <w:pPr>
        <w:tabs>
          <w:tab w:val="num" w:pos="0"/>
        </w:tabs>
        <w:ind w:left="6740" w:hanging="180"/>
      </w:pPr>
    </w:lvl>
  </w:abstractNum>
  <w:abstractNum w:abstractNumId="11">
    <w:lvl w:ilvl="0">
      <w:start w:val="1"/>
      <w:numFmt w:val="decimal"/>
      <w:lvlText w:val="%1."/>
      <w:lvlJc w:val="left"/>
      <w:pPr>
        <w:tabs>
          <w:tab w:val="num" w:pos="0"/>
        </w:tabs>
        <w:ind w:left="980" w:hanging="360"/>
      </w:pPr>
    </w:lvl>
    <w:lvl w:ilvl="1">
      <w:start w:val="1"/>
      <w:numFmt w:val="lowerLetter"/>
      <w:lvlText w:val="%2."/>
      <w:lvlJc w:val="left"/>
      <w:pPr>
        <w:tabs>
          <w:tab w:val="num" w:pos="0"/>
        </w:tabs>
        <w:ind w:left="1700" w:hanging="360"/>
      </w:pPr>
    </w:lvl>
    <w:lvl w:ilvl="2">
      <w:start w:val="1"/>
      <w:numFmt w:val="lowerRoman"/>
      <w:lvlText w:val="%3."/>
      <w:lvlJc w:val="right"/>
      <w:pPr>
        <w:tabs>
          <w:tab w:val="num" w:pos="0"/>
        </w:tabs>
        <w:ind w:left="2420" w:hanging="180"/>
      </w:pPr>
    </w:lvl>
    <w:lvl w:ilvl="3">
      <w:start w:val="1"/>
      <w:numFmt w:val="decimal"/>
      <w:lvlText w:val="%4."/>
      <w:lvlJc w:val="left"/>
      <w:pPr>
        <w:tabs>
          <w:tab w:val="num" w:pos="0"/>
        </w:tabs>
        <w:ind w:left="3140" w:hanging="360"/>
      </w:pPr>
    </w:lvl>
    <w:lvl w:ilvl="4">
      <w:start w:val="1"/>
      <w:numFmt w:val="lowerLetter"/>
      <w:lvlText w:val="%5."/>
      <w:lvlJc w:val="left"/>
      <w:pPr>
        <w:tabs>
          <w:tab w:val="num" w:pos="0"/>
        </w:tabs>
        <w:ind w:left="3860" w:hanging="360"/>
      </w:pPr>
    </w:lvl>
    <w:lvl w:ilvl="5">
      <w:start w:val="1"/>
      <w:numFmt w:val="lowerRoman"/>
      <w:lvlText w:val="%6."/>
      <w:lvlJc w:val="right"/>
      <w:pPr>
        <w:tabs>
          <w:tab w:val="num" w:pos="0"/>
        </w:tabs>
        <w:ind w:left="4580" w:hanging="180"/>
      </w:pPr>
    </w:lvl>
    <w:lvl w:ilvl="6">
      <w:start w:val="1"/>
      <w:numFmt w:val="decimal"/>
      <w:lvlText w:val="%7."/>
      <w:lvlJc w:val="left"/>
      <w:pPr>
        <w:tabs>
          <w:tab w:val="num" w:pos="0"/>
        </w:tabs>
        <w:ind w:left="5300" w:hanging="360"/>
      </w:pPr>
    </w:lvl>
    <w:lvl w:ilvl="7">
      <w:start w:val="1"/>
      <w:numFmt w:val="lowerLetter"/>
      <w:lvlText w:val="%8."/>
      <w:lvlJc w:val="left"/>
      <w:pPr>
        <w:tabs>
          <w:tab w:val="num" w:pos="0"/>
        </w:tabs>
        <w:ind w:left="6020" w:hanging="360"/>
      </w:pPr>
    </w:lvl>
    <w:lvl w:ilvl="8">
      <w:start w:val="1"/>
      <w:numFmt w:val="lowerRoman"/>
      <w:lvlText w:val="%9."/>
      <w:lvlJc w:val="right"/>
      <w:pPr>
        <w:tabs>
          <w:tab w:val="num" w:pos="0"/>
        </w:tabs>
        <w:ind w:left="674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853d7"/>
    <w:rPr>
      <w:sz w:val="16"/>
      <w:szCs w:val="16"/>
    </w:rPr>
  </w:style>
  <w:style w:type="character" w:styleId="TekstkomentarzaZnak" w:customStyle="1">
    <w:name w:val="Tekst komentarza Znak"/>
    <w:basedOn w:val="DefaultParagraphFont"/>
    <w:link w:val="Tekstkomentarza"/>
    <w:uiPriority w:val="99"/>
    <w:semiHidden/>
    <w:qFormat/>
    <w:rsid w:val="00a853d7"/>
    <w:rPr>
      <w:rFonts w:ascii="Times New Roman" w:hAnsi="Times New Roman" w:eastAsia="" w:cs="Times New Roman" w:eastAsiaTheme="minorEastAsia"/>
      <w:sz w:val="20"/>
      <w:szCs w:val="20"/>
      <w:lang w:eastAsia="pl-PL"/>
    </w:rPr>
  </w:style>
  <w:style w:type="character" w:styleId="TekstdymkaZnak" w:customStyle="1">
    <w:name w:val="Tekst dymka Znak"/>
    <w:basedOn w:val="DefaultParagraphFont"/>
    <w:link w:val="Tekstdymka"/>
    <w:uiPriority w:val="99"/>
    <w:semiHidden/>
    <w:qFormat/>
    <w:rsid w:val="00a853d7"/>
    <w:rPr>
      <w:rFonts w:ascii="Segoe UI" w:hAnsi="Segoe UI" w:cs="Segoe UI"/>
      <w:sz w:val="18"/>
      <w:szCs w:val="18"/>
    </w:rPr>
  </w:style>
  <w:style w:type="character" w:styleId="TematkomentarzaZnak" w:customStyle="1">
    <w:name w:val="Temat komentarza Znak"/>
    <w:basedOn w:val="TekstkomentarzaZnak"/>
    <w:link w:val="Tematkomentarza"/>
    <w:uiPriority w:val="99"/>
    <w:semiHidden/>
    <w:qFormat/>
    <w:rsid w:val="00a853d7"/>
    <w:rPr>
      <w:rFonts w:ascii="Times New Roman" w:hAnsi="Times New Roman" w:eastAsia="" w:cs="Times New Roman" w:eastAsiaTheme="minorEastAsia"/>
      <w:b/>
      <w:bCs/>
      <w:sz w:val="20"/>
      <w:szCs w:val="20"/>
      <w:lang w:eastAsia="pl-PL"/>
    </w:rPr>
  </w:style>
  <w:style w:type="character" w:styleId="TekstprzypisukocowegoZnak" w:customStyle="1">
    <w:name w:val="Tekst przypisu końcowego Znak"/>
    <w:basedOn w:val="DefaultParagraphFont"/>
    <w:link w:val="Tekstprzypisukocowego"/>
    <w:uiPriority w:val="99"/>
    <w:semiHidden/>
    <w:qFormat/>
    <w:rsid w:val="00d2535c"/>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d2535c"/>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qFormat/>
    <w:rsid w:val="009e372b"/>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a853d7"/>
    <w:pPr>
      <w:spacing w:lineRule="auto" w:line="240" w:before="0" w:after="0"/>
    </w:pPr>
    <w:rPr>
      <w:rFonts w:ascii="Times New Roman" w:hAnsi="Times New Roman" w:eastAsia="" w:cs="Times New Roman" w:eastAsiaTheme="minorEastAsia"/>
      <w:sz w:val="20"/>
      <w:szCs w:val="20"/>
      <w:lang w:eastAsia="pl-PL"/>
    </w:rPr>
  </w:style>
  <w:style w:type="paragraph" w:styleId="BalloonText">
    <w:name w:val="Balloon Text"/>
    <w:basedOn w:val="Normal"/>
    <w:link w:val="TekstdymkaZnak"/>
    <w:uiPriority w:val="99"/>
    <w:semiHidden/>
    <w:unhideWhenUsed/>
    <w:qFormat/>
    <w:rsid w:val="00a853d7"/>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TematkomentarzaZnak"/>
    <w:uiPriority w:val="99"/>
    <w:semiHidden/>
    <w:unhideWhenUsed/>
    <w:qFormat/>
    <w:rsid w:val="00a853d7"/>
    <w:pPr>
      <w:spacing w:before="0" w:after="160"/>
    </w:pPr>
    <w:rPr>
      <w:rFonts w:ascii="Calibri" w:hAnsi="Calibri" w:eastAsia="Calibri" w:cs="" w:asciiTheme="minorHAnsi" w:cstheme="minorBidi" w:eastAsiaTheme="minorHAnsi" w:hAnsiTheme="minorHAnsi"/>
      <w:b/>
      <w:bCs/>
      <w:lang w:eastAsia="en-US"/>
    </w:rPr>
  </w:style>
  <w:style w:type="paragraph" w:styleId="Przypiskocowy">
    <w:name w:val="Endnote Text"/>
    <w:basedOn w:val="Normal"/>
    <w:link w:val="TekstprzypisukocowegoZnak"/>
    <w:uiPriority w:val="99"/>
    <w:semiHidden/>
    <w:unhideWhenUsed/>
    <w:rsid w:val="00d2535c"/>
    <w:pPr>
      <w:spacing w:lineRule="auto" w:line="240" w:before="0" w:after="0"/>
    </w:pPr>
    <w:rPr>
      <w:sz w:val="20"/>
      <w:szCs w:val="20"/>
    </w:rPr>
  </w:style>
  <w:style w:type="paragraph" w:styleId="Default" w:customStyle="1">
    <w:name w:val="Default"/>
    <w:qFormat/>
    <w:rsid w:val="00510839"/>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82d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6AA7-A778-4CF0-8358-5E12BC8A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Application>LibreOffice/7.2.2.2$Windows_X86_64 LibreOffice_project/02b2acce88a210515b4a5bb2e46cbfb63fe97d56</Application>
  <AppVersion>15.0000</AppVersion>
  <Pages>17</Pages>
  <Words>5303</Words>
  <Characters>31819</Characters>
  <CharactersWithSpaces>37048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2021-04-28T06:29:00Z</dcterms:created>
  <dc:creator>Asus</dc:creator>
  <dc:description/>
  <dc:language>pl-PL</dc:language>
  <cp:lastModifiedBy/>
  <dcterms:modified xsi:type="dcterms:W3CDTF">2025-04-29T19:25:45Z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file>